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3" w:rsidRPr="00433C22" w:rsidRDefault="00AE0F03" w:rsidP="00AE0F03">
      <w:pPr>
        <w:tabs>
          <w:tab w:val="left" w:pos="3118"/>
        </w:tabs>
        <w:spacing w:line="276" w:lineRule="auto"/>
        <w:jc w:val="center"/>
      </w:pPr>
      <w:bookmarkStart w:id="0" w:name="_GoBack"/>
      <w:bookmarkEnd w:id="0"/>
      <w:r w:rsidRPr="00433C22">
        <w:t>ZAŁĄCZNIK NR 2A DO OGŁOSZENIA CZĘŚĆ 1 – Biuro Prezesa</w:t>
      </w:r>
    </w:p>
    <w:p w:rsidR="00AE0F03" w:rsidRPr="00433C22" w:rsidRDefault="00AE0F03" w:rsidP="00AE0F03">
      <w:pPr>
        <w:tabs>
          <w:tab w:val="left" w:pos="3118"/>
        </w:tabs>
        <w:spacing w:line="276" w:lineRule="auto"/>
        <w:jc w:val="center"/>
        <w:rPr>
          <w:b/>
          <w:sz w:val="20"/>
          <w:szCs w:val="20"/>
        </w:rPr>
      </w:pPr>
      <w:r w:rsidRPr="00433C22">
        <w:rPr>
          <w:b/>
          <w:sz w:val="20"/>
          <w:szCs w:val="20"/>
        </w:rPr>
        <w:t>Formularz cenowy szczegółowy</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AE0F03" w:rsidRPr="00433C22" w:rsidTr="00AE0F03">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rsidR="00AE0F03" w:rsidRPr="00433C22" w:rsidRDefault="00AE0F03" w:rsidP="00AE0F03">
            <w:pPr>
              <w:ind w:left="-906" w:firstLine="906"/>
              <w:jc w:val="center"/>
              <w:rPr>
                <w:b/>
                <w:i/>
                <w:iCs/>
                <w:color w:val="008080"/>
                <w:sz w:val="18"/>
                <w:szCs w:val="18"/>
              </w:rPr>
            </w:pPr>
            <w:r w:rsidRPr="00433C22">
              <w:rPr>
                <w:b/>
                <w:i/>
                <w:iCs/>
                <w:color w:val="008080"/>
                <w:sz w:val="18"/>
                <w:szCs w:val="18"/>
              </w:rPr>
              <w:t>Poz.</w:t>
            </w:r>
          </w:p>
        </w:tc>
        <w:tc>
          <w:tcPr>
            <w:tcW w:w="3900" w:type="dxa"/>
            <w:vMerge w:val="restart"/>
            <w:tcBorders>
              <w:top w:val="single" w:sz="4" w:space="0" w:color="auto"/>
              <w:left w:val="single" w:sz="4" w:space="0" w:color="auto"/>
              <w:bottom w:val="single" w:sz="4" w:space="0" w:color="000000"/>
              <w:right w:val="nil"/>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Przewidywana ilość</w:t>
            </w:r>
            <w:r w:rsidRPr="00433C22">
              <w:rPr>
                <w:b/>
                <w:i/>
                <w:iCs/>
                <w:color w:val="FF0000"/>
                <w:sz w:val="18"/>
                <w:szCs w:val="18"/>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Cena jedn.</w:t>
            </w:r>
            <w:r w:rsidRPr="00433C22">
              <w:rPr>
                <w:b/>
                <w:i/>
                <w:iCs/>
                <w:color w:val="008080"/>
                <w:sz w:val="18"/>
                <w:szCs w:val="18"/>
              </w:rPr>
              <w:br/>
              <w:t>brutto</w:t>
            </w:r>
            <w:r w:rsidRPr="00433C22">
              <w:rPr>
                <w:b/>
                <w:i/>
                <w:iCs/>
                <w:color w:val="FF0000"/>
                <w:sz w:val="18"/>
                <w:szCs w:val="18"/>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Wartość brutto</w:t>
            </w:r>
            <w:r w:rsidRPr="00433C22">
              <w:rPr>
                <w:b/>
                <w:i/>
                <w:iCs/>
                <w:color w:val="008080"/>
                <w:sz w:val="18"/>
                <w:szCs w:val="18"/>
              </w:rPr>
              <w:br/>
              <w:t>kol. 4 x 5</w:t>
            </w:r>
          </w:p>
        </w:tc>
      </w:tr>
      <w:tr w:rsidR="00AE0F03" w:rsidRPr="00433C22" w:rsidTr="00AE0F03">
        <w:trPr>
          <w:gridAfter w:val="1"/>
          <w:wAfter w:w="146" w:type="dxa"/>
          <w:trHeight w:val="397"/>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3900" w:type="dxa"/>
            <w:vMerge/>
            <w:tcBorders>
              <w:top w:val="single" w:sz="4" w:space="0" w:color="auto"/>
              <w:left w:val="single" w:sz="4" w:space="0" w:color="auto"/>
              <w:bottom w:val="single" w:sz="4" w:space="0" w:color="000000"/>
              <w:right w:val="nil"/>
            </w:tcBorders>
            <w:vAlign w:val="center"/>
            <w:hideMark/>
          </w:tcPr>
          <w:p w:rsidR="00AE0F03" w:rsidRPr="00433C22" w:rsidRDefault="00AE0F03" w:rsidP="00AE0F03">
            <w:pPr>
              <w:rPr>
                <w:b/>
                <w:i/>
                <w:iCs/>
                <w:color w:val="008080"/>
                <w:sz w:val="18"/>
                <w:szCs w:val="18"/>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AE0F03" w:rsidRPr="00433C22" w:rsidRDefault="00AE0F03" w:rsidP="00AE0F03">
            <w:pPr>
              <w:rPr>
                <w:b/>
                <w:i/>
                <w:iCs/>
                <w:color w:val="008080"/>
                <w:sz w:val="18"/>
                <w:szCs w:val="18"/>
              </w:rPr>
            </w:pPr>
          </w:p>
        </w:tc>
      </w:tr>
      <w:tr w:rsidR="00AE0F03" w:rsidRPr="00433C22" w:rsidTr="00AE0F03">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1</w:t>
            </w:r>
          </w:p>
        </w:tc>
        <w:tc>
          <w:tcPr>
            <w:tcW w:w="390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2</w:t>
            </w:r>
          </w:p>
        </w:tc>
        <w:tc>
          <w:tcPr>
            <w:tcW w:w="2464" w:type="dxa"/>
            <w:tcBorders>
              <w:top w:val="nil"/>
              <w:left w:val="nil"/>
              <w:bottom w:val="single" w:sz="4" w:space="0" w:color="auto"/>
              <w:right w:val="nil"/>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3</w:t>
            </w:r>
          </w:p>
        </w:tc>
        <w:tc>
          <w:tcPr>
            <w:tcW w:w="1420" w:type="dxa"/>
            <w:tcBorders>
              <w:top w:val="nil"/>
              <w:left w:val="single" w:sz="4" w:space="0" w:color="auto"/>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4</w:t>
            </w:r>
          </w:p>
        </w:tc>
        <w:tc>
          <w:tcPr>
            <w:tcW w:w="1220"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5</w:t>
            </w:r>
          </w:p>
        </w:tc>
        <w:tc>
          <w:tcPr>
            <w:tcW w:w="1507" w:type="dxa"/>
            <w:tcBorders>
              <w:top w:val="nil"/>
              <w:left w:val="nil"/>
              <w:bottom w:val="single" w:sz="4" w:space="0" w:color="auto"/>
              <w:right w:val="single" w:sz="4" w:space="0" w:color="auto"/>
            </w:tcBorders>
            <w:shd w:val="clear" w:color="000000" w:fill="CCFFCC"/>
            <w:noWrap/>
            <w:vAlign w:val="center"/>
            <w:hideMark/>
          </w:tcPr>
          <w:p w:rsidR="00AE0F03" w:rsidRPr="00433C22" w:rsidRDefault="00AE0F03" w:rsidP="00AE0F03">
            <w:pPr>
              <w:jc w:val="center"/>
              <w:rPr>
                <w:b/>
                <w:i/>
                <w:iCs/>
                <w:color w:val="008080"/>
                <w:sz w:val="18"/>
                <w:szCs w:val="18"/>
              </w:rPr>
            </w:pPr>
            <w:r w:rsidRPr="00433C22">
              <w:rPr>
                <w:b/>
                <w:i/>
                <w:iCs/>
                <w:color w:val="008080"/>
                <w:sz w:val="18"/>
                <w:szCs w:val="18"/>
              </w:rPr>
              <w:t>6</w:t>
            </w:r>
          </w:p>
        </w:tc>
      </w:tr>
      <w:tr w:rsidR="00AE0F03" w:rsidRPr="00433C22" w:rsidTr="00AE0F03">
        <w:trPr>
          <w:trHeight w:val="263"/>
        </w:trPr>
        <w:tc>
          <w:tcPr>
            <w:tcW w:w="8277" w:type="dxa"/>
            <w:gridSpan w:val="4"/>
            <w:tcBorders>
              <w:top w:val="nil"/>
              <w:left w:val="nil"/>
              <w:bottom w:val="nil"/>
              <w:right w:val="nil"/>
            </w:tcBorders>
            <w:shd w:val="clear" w:color="auto" w:fill="auto"/>
            <w:noWrap/>
            <w:vAlign w:val="center"/>
            <w:hideMark/>
          </w:tcPr>
          <w:p w:rsidR="00AE0F03" w:rsidRPr="00433C22" w:rsidRDefault="00AE0F03" w:rsidP="00AE0F03">
            <w:pPr>
              <w:ind w:firstLineChars="100" w:firstLine="180"/>
              <w:rPr>
                <w:sz w:val="18"/>
                <w:szCs w:val="18"/>
              </w:rPr>
            </w:pPr>
            <w:r w:rsidRPr="00433C22">
              <w:rPr>
                <w:sz w:val="18"/>
                <w:szCs w:val="18"/>
              </w:rPr>
              <w:t>Usługi pocztowe w obrocie krajowym i zagranicznym:</w:t>
            </w:r>
          </w:p>
        </w:tc>
        <w:tc>
          <w:tcPr>
            <w:tcW w:w="1220"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507"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c>
          <w:tcPr>
            <w:tcW w:w="146" w:type="dxa"/>
            <w:tcBorders>
              <w:top w:val="nil"/>
              <w:left w:val="nil"/>
              <w:bottom w:val="nil"/>
              <w:right w:val="nil"/>
            </w:tcBorders>
            <w:shd w:val="clear" w:color="auto" w:fill="auto"/>
            <w:noWrap/>
            <w:vAlign w:val="bottom"/>
            <w:hideMark/>
          </w:tcPr>
          <w:p w:rsidR="00AE0F03" w:rsidRPr="00433C22" w:rsidRDefault="00AE0F03" w:rsidP="00AE0F03">
            <w:pPr>
              <w:rPr>
                <w:sz w:val="18"/>
                <w:szCs w:val="18"/>
              </w:rPr>
            </w:pPr>
          </w:p>
        </w:tc>
      </w:tr>
      <w:tr w:rsidR="00AE0F03" w:rsidRPr="00433C22" w:rsidTr="00AE0F03">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Zwykłe – przesyłki listowe nierejestrowane nie będące przesyłkami najszybszej kategorii </w:t>
            </w:r>
            <w:r w:rsidRPr="00BC55EC">
              <w:rPr>
                <w:sz w:val="20"/>
                <w:szCs w:val="20"/>
              </w:rPr>
              <w:br/>
              <w:t>w obrocie krajowym  Gabaryt A</w:t>
            </w:r>
          </w:p>
        </w:tc>
        <w:tc>
          <w:tcPr>
            <w:tcW w:w="2464"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800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 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c>
          <w:tcPr>
            <w:tcW w:w="146" w:type="dxa"/>
            <w:vAlign w:val="center"/>
            <w:hideMark/>
          </w:tcPr>
          <w:p w:rsidR="00AE0F03" w:rsidRPr="00433C22" w:rsidRDefault="00AE0F03" w:rsidP="00AE0F03">
            <w:pPr>
              <w:rPr>
                <w:sz w:val="18"/>
                <w:szCs w:val="18"/>
              </w:rPr>
            </w:pPr>
          </w:p>
        </w:tc>
      </w:tr>
      <w:tr w:rsidR="00AE0F03" w:rsidRPr="00433C22" w:rsidTr="00AE0F03">
        <w:trPr>
          <w:gridAfter w:val="1"/>
          <w:wAfter w:w="146" w:type="dxa"/>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A</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3 000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3</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B</w:t>
            </w: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350g  do 1000g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ponad 1000g  do 2000g</w:t>
            </w:r>
          </w:p>
        </w:tc>
        <w:tc>
          <w:tcPr>
            <w:tcW w:w="1420"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600</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260"/>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4</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Polecone priorytetowe – przesyłki listowe rejestrowane najszybszej kategorii w obrocie krajowym Gabaryt A</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sz w:val="20"/>
                <w:szCs w:val="20"/>
              </w:rPr>
            </w:pPr>
            <w:r w:rsidRPr="00BC55EC">
              <w:rPr>
                <w:sz w:val="20"/>
                <w:szCs w:val="20"/>
              </w:rPr>
              <w:t>do 350g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72"/>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DC6758">
        <w:trPr>
          <w:gridAfter w:val="1"/>
          <w:wAfter w:w="146" w:type="dxa"/>
          <w:trHeight w:val="230"/>
        </w:trPr>
        <w:tc>
          <w:tcPr>
            <w:tcW w:w="493"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390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2464"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auto"/>
              <w:right w:val="single" w:sz="4" w:space="0" w:color="auto"/>
            </w:tcBorders>
            <w:vAlign w:val="center"/>
            <w:hideMark/>
          </w:tcPr>
          <w:p w:rsidR="00AE0F03" w:rsidRPr="00BC55EC" w:rsidRDefault="00AE0F03" w:rsidP="00AE0F03">
            <w:pPr>
              <w:rPr>
                <w:sz w:val="20"/>
                <w:szCs w:val="20"/>
              </w:rPr>
            </w:pPr>
          </w:p>
        </w:tc>
      </w:tr>
      <w:tr w:rsidR="00AE0F03"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5</w:t>
            </w:r>
            <w:r w:rsidR="00DC6758">
              <w:rPr>
                <w:sz w:val="20"/>
                <w:szCs w:val="20"/>
              </w:rPr>
              <w:t>a</w:t>
            </w:r>
          </w:p>
        </w:tc>
        <w:tc>
          <w:tcPr>
            <w:tcW w:w="3900" w:type="dxa"/>
            <w:tcBorders>
              <w:top w:val="single" w:sz="4" w:space="0" w:color="auto"/>
              <w:left w:val="nil"/>
              <w:bottom w:val="single" w:sz="4" w:space="0" w:color="auto"/>
              <w:right w:val="nil"/>
            </w:tcBorders>
            <w:shd w:val="clear" w:color="000000" w:fill="CCFFFF"/>
            <w:vAlign w:val="center"/>
            <w:hideMark/>
          </w:tcPr>
          <w:p w:rsidR="00AE0F03" w:rsidRPr="00BC55EC" w:rsidRDefault="0056076F" w:rsidP="009567E2">
            <w:pPr>
              <w:rPr>
                <w:sz w:val="20"/>
                <w:szCs w:val="20"/>
              </w:rPr>
            </w:pPr>
            <w:r>
              <w:rPr>
                <w:sz w:val="20"/>
                <w:szCs w:val="20"/>
              </w:rPr>
              <w:t xml:space="preserve">Przesyłki listowne ze </w:t>
            </w:r>
            <w:r w:rsidR="009567E2">
              <w:rPr>
                <w:sz w:val="20"/>
                <w:szCs w:val="20"/>
              </w:rPr>
              <w:t>zwrotnym</w:t>
            </w:r>
            <w:r w:rsidR="00AE0F03" w:rsidRPr="00BC55EC">
              <w:rPr>
                <w:sz w:val="20"/>
                <w:szCs w:val="20"/>
              </w:rPr>
              <w:t xml:space="preserve"> </w:t>
            </w:r>
            <w:r w:rsidR="009567E2">
              <w:rPr>
                <w:sz w:val="20"/>
                <w:szCs w:val="20"/>
              </w:rPr>
              <w:t>potwierdzeniem</w:t>
            </w:r>
            <w:r w:rsidR="00AE0F03" w:rsidRPr="00BC55EC">
              <w:rPr>
                <w:sz w:val="20"/>
                <w:szCs w:val="20"/>
              </w:rPr>
              <w:t xml:space="preserve"> odbioru</w:t>
            </w:r>
            <w:r w:rsidR="009567E2">
              <w:rPr>
                <w:sz w:val="20"/>
                <w:szCs w:val="20"/>
              </w:rPr>
              <w:t xml:space="preserve"> </w:t>
            </w:r>
            <w:r w:rsidR="00AE0F03" w:rsidRPr="00BC55EC">
              <w:rPr>
                <w:sz w:val="20"/>
                <w:szCs w:val="20"/>
              </w:rPr>
              <w:t>(ZPO) w obrocie krajowym Gabaryt</w:t>
            </w:r>
            <w:r>
              <w:rPr>
                <w:sz w:val="20"/>
                <w:szCs w:val="20"/>
              </w:rPr>
              <w:t xml:space="preserve"> </w:t>
            </w:r>
            <w:r w:rsidR="00AE0F03" w:rsidRPr="00BC55EC">
              <w:rPr>
                <w:sz w:val="20"/>
                <w:szCs w:val="20"/>
              </w:rPr>
              <w:t>A</w:t>
            </w:r>
            <w:r w:rsidR="00DC6758">
              <w:rPr>
                <w:sz w:val="20"/>
                <w:szCs w:val="20"/>
              </w:rPr>
              <w:t xml:space="preserve"> - ekonomiczne</w:t>
            </w:r>
            <w:r w:rsidR="00AE0F03" w:rsidRPr="00BC55EC">
              <w:rPr>
                <w:sz w:val="20"/>
                <w:szCs w:val="20"/>
              </w:rPr>
              <w:t xml:space="preserve"> </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2 000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DC6758"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C6758" w:rsidRPr="00BC55EC" w:rsidRDefault="00DC6758" w:rsidP="00DC6758">
            <w:pPr>
              <w:jc w:val="center"/>
              <w:rPr>
                <w:sz w:val="20"/>
                <w:szCs w:val="20"/>
              </w:rPr>
            </w:pPr>
            <w:r w:rsidRPr="00BC55EC">
              <w:rPr>
                <w:sz w:val="20"/>
                <w:szCs w:val="20"/>
              </w:rPr>
              <w:t>5</w:t>
            </w:r>
            <w:r>
              <w:rPr>
                <w:sz w:val="20"/>
                <w:szCs w:val="20"/>
              </w:rPr>
              <w:t>b</w:t>
            </w:r>
          </w:p>
        </w:tc>
        <w:tc>
          <w:tcPr>
            <w:tcW w:w="3900" w:type="dxa"/>
            <w:tcBorders>
              <w:top w:val="single" w:sz="4" w:space="0" w:color="auto"/>
              <w:left w:val="nil"/>
              <w:bottom w:val="single" w:sz="4" w:space="0" w:color="auto"/>
              <w:right w:val="nil"/>
            </w:tcBorders>
            <w:shd w:val="clear" w:color="000000" w:fill="CCFFFF"/>
            <w:vAlign w:val="center"/>
            <w:hideMark/>
          </w:tcPr>
          <w:p w:rsidR="00DC6758" w:rsidRPr="00BC55EC" w:rsidRDefault="00DC6758" w:rsidP="009567E2">
            <w:pPr>
              <w:rPr>
                <w:sz w:val="20"/>
                <w:szCs w:val="20"/>
              </w:rPr>
            </w:pPr>
            <w:r>
              <w:rPr>
                <w:sz w:val="20"/>
                <w:szCs w:val="20"/>
              </w:rPr>
              <w:t xml:space="preserve">Przesyłki listowne ze </w:t>
            </w:r>
            <w:r w:rsidR="009567E2">
              <w:rPr>
                <w:sz w:val="20"/>
                <w:szCs w:val="20"/>
              </w:rPr>
              <w:t>zwrotnym</w:t>
            </w:r>
            <w:r w:rsidRPr="00BC55EC">
              <w:rPr>
                <w:sz w:val="20"/>
                <w:szCs w:val="20"/>
              </w:rPr>
              <w:t xml:space="preserve"> </w:t>
            </w:r>
            <w:r w:rsidR="009567E2">
              <w:rPr>
                <w:sz w:val="20"/>
                <w:szCs w:val="20"/>
              </w:rPr>
              <w:t>potwierdzeniem</w:t>
            </w:r>
            <w:r w:rsidRPr="00BC55EC">
              <w:rPr>
                <w:sz w:val="20"/>
                <w:szCs w:val="20"/>
              </w:rPr>
              <w:t xml:space="preserve"> odbioru</w:t>
            </w:r>
            <w:r w:rsidR="009567E2">
              <w:rPr>
                <w:sz w:val="20"/>
                <w:szCs w:val="20"/>
              </w:rPr>
              <w:t xml:space="preserve"> </w:t>
            </w:r>
            <w:r w:rsidRPr="00BC55EC">
              <w:rPr>
                <w:sz w:val="20"/>
                <w:szCs w:val="20"/>
              </w:rPr>
              <w:t>(ZPO) w obrocie krajowym Gabaryt</w:t>
            </w:r>
            <w:r>
              <w:rPr>
                <w:sz w:val="20"/>
                <w:szCs w:val="20"/>
              </w:rPr>
              <w:t xml:space="preserve"> </w:t>
            </w:r>
            <w:r w:rsidRPr="00BC55EC">
              <w:rPr>
                <w:sz w:val="20"/>
                <w:szCs w:val="20"/>
              </w:rPr>
              <w:t>A</w:t>
            </w:r>
            <w:r>
              <w:rPr>
                <w:sz w:val="20"/>
                <w:szCs w:val="20"/>
              </w:rPr>
              <w:t xml:space="preserve"> - priorytetowe</w:t>
            </w:r>
            <w:r w:rsidRPr="00BC55EC">
              <w:rPr>
                <w:sz w:val="20"/>
                <w:szCs w:val="20"/>
              </w:rPr>
              <w:t xml:space="preserve"> </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C6758" w:rsidRPr="00BC55EC" w:rsidRDefault="00DC6758" w:rsidP="0095583A">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DC6758" w:rsidRPr="00BC55EC" w:rsidRDefault="00DC6758" w:rsidP="0095583A">
            <w:pPr>
              <w:jc w:val="center"/>
              <w:rPr>
                <w:sz w:val="20"/>
                <w:szCs w:val="20"/>
              </w:rPr>
            </w:pPr>
            <w:r>
              <w:rPr>
                <w:sz w:val="20"/>
                <w:szCs w:val="20"/>
              </w:rPr>
              <w:t>200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C6758" w:rsidRPr="00BC55EC" w:rsidRDefault="00DC6758" w:rsidP="0095583A">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DC6758" w:rsidRPr="00BC55EC" w:rsidRDefault="00DC6758" w:rsidP="0095583A">
            <w:pPr>
              <w:ind w:firstLineChars="100" w:firstLine="200"/>
              <w:jc w:val="right"/>
              <w:rPr>
                <w:sz w:val="20"/>
                <w:szCs w:val="20"/>
              </w:rPr>
            </w:pPr>
            <w:r w:rsidRPr="00BC55EC">
              <w:rPr>
                <w:sz w:val="20"/>
                <w:szCs w:val="20"/>
              </w:rPr>
              <w:t> </w:t>
            </w:r>
          </w:p>
        </w:tc>
      </w:tr>
      <w:tr w:rsidR="00AE0F03" w:rsidRPr="00433C22" w:rsidTr="00DC6758">
        <w:trPr>
          <w:gridAfter w:val="1"/>
          <w:wAfter w:w="146" w:type="dxa"/>
          <w:trHeight w:val="43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6</w:t>
            </w:r>
          </w:p>
        </w:tc>
        <w:tc>
          <w:tcPr>
            <w:tcW w:w="3900" w:type="dxa"/>
            <w:tcBorders>
              <w:top w:val="single" w:sz="4" w:space="0" w:color="auto"/>
              <w:left w:val="nil"/>
              <w:bottom w:val="nil"/>
              <w:right w:val="nil"/>
            </w:tcBorders>
            <w:shd w:val="clear" w:color="000000" w:fill="CCFFFF"/>
            <w:vAlign w:val="center"/>
            <w:hideMark/>
          </w:tcPr>
          <w:p w:rsidR="00AE0F03" w:rsidRPr="00BC55EC" w:rsidRDefault="00DA57EF" w:rsidP="0056076F">
            <w:pPr>
              <w:rPr>
                <w:sz w:val="20"/>
                <w:szCs w:val="20"/>
              </w:rPr>
            </w:pPr>
            <w:r w:rsidRPr="00DA57EF">
              <w:rPr>
                <w:sz w:val="20"/>
                <w:szCs w:val="20"/>
              </w:rPr>
              <w:t>Przesyłki listowne ze zwrotnym potwierdzenie</w:t>
            </w:r>
            <w:r w:rsidR="00961125">
              <w:rPr>
                <w:sz w:val="20"/>
                <w:szCs w:val="20"/>
              </w:rPr>
              <w:t>m</w:t>
            </w:r>
            <w:r w:rsidRPr="00DA57EF">
              <w:rPr>
                <w:sz w:val="20"/>
                <w:szCs w:val="20"/>
              </w:rPr>
              <w:t xml:space="preserve"> odbioru (ZPO) w obrocie krajowym Gabaryt B – ekonomiczne</w:t>
            </w:r>
          </w:p>
        </w:tc>
        <w:tc>
          <w:tcPr>
            <w:tcW w:w="246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E0F03" w:rsidRPr="00BC55EC" w:rsidRDefault="00AE0F03" w:rsidP="00AE0F03">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xml:space="preserve"> 500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7</w:t>
            </w:r>
          </w:p>
        </w:tc>
        <w:tc>
          <w:tcPr>
            <w:tcW w:w="3900" w:type="dxa"/>
            <w:tcBorders>
              <w:top w:val="single" w:sz="4" w:space="0" w:color="auto"/>
              <w:left w:val="nil"/>
              <w:bottom w:val="nil"/>
              <w:right w:val="nil"/>
            </w:tcBorders>
            <w:shd w:val="clear" w:color="000000" w:fill="CCFFFF"/>
            <w:vAlign w:val="center"/>
          </w:tcPr>
          <w:p w:rsidR="00AE0F03" w:rsidRPr="00BC55EC" w:rsidRDefault="00DA57EF" w:rsidP="0056076F">
            <w:pPr>
              <w:rPr>
                <w:sz w:val="20"/>
                <w:szCs w:val="20"/>
              </w:rPr>
            </w:pPr>
            <w:r w:rsidRPr="00DA57EF">
              <w:rPr>
                <w:sz w:val="20"/>
                <w:szCs w:val="20"/>
              </w:rPr>
              <w:t>Przesyłki listowne ze zwrotnym potwierdzeniem odbioru (ZPO)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1000g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8</w:t>
            </w:r>
          </w:p>
        </w:tc>
        <w:tc>
          <w:tcPr>
            <w:tcW w:w="3900" w:type="dxa"/>
            <w:tcBorders>
              <w:top w:val="single" w:sz="4" w:space="0" w:color="auto"/>
              <w:left w:val="nil"/>
              <w:bottom w:val="nil"/>
              <w:right w:val="nil"/>
            </w:tcBorders>
            <w:shd w:val="clear" w:color="000000" w:fill="CCFFFF"/>
            <w:vAlign w:val="center"/>
          </w:tcPr>
          <w:p w:rsidR="00AE0F03" w:rsidRPr="00BC55EC" w:rsidRDefault="00DA57EF" w:rsidP="0056076F">
            <w:pPr>
              <w:rPr>
                <w:sz w:val="20"/>
                <w:szCs w:val="20"/>
              </w:rPr>
            </w:pPr>
            <w:r w:rsidRPr="00DA57EF">
              <w:rPr>
                <w:sz w:val="20"/>
                <w:szCs w:val="20"/>
              </w:rPr>
              <w:t>Przesyłki listowne ze zwrotnym potwierdzeniem odbioru (ZPO)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rsidR="00AE0F03" w:rsidRPr="00BC55EC" w:rsidRDefault="00AE0F03" w:rsidP="00AE0F03">
            <w:pPr>
              <w:jc w:val="right"/>
              <w:rPr>
                <w:sz w:val="20"/>
                <w:szCs w:val="20"/>
              </w:rPr>
            </w:pPr>
            <w:r w:rsidRPr="00BC55EC">
              <w:rPr>
                <w:sz w:val="20"/>
                <w:szCs w:val="20"/>
              </w:rPr>
              <w:t>do 2000g</w:t>
            </w:r>
          </w:p>
        </w:tc>
        <w:tc>
          <w:tcPr>
            <w:tcW w:w="1420"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AE0F03">
            <w:pPr>
              <w:jc w:val="center"/>
              <w:rPr>
                <w:sz w:val="20"/>
                <w:szCs w:val="20"/>
              </w:rPr>
            </w:pPr>
            <w:r w:rsidRPr="00BC55EC">
              <w:rPr>
                <w:sz w:val="20"/>
                <w:szCs w:val="20"/>
              </w:rPr>
              <w:t>1000</w:t>
            </w:r>
          </w:p>
        </w:tc>
        <w:tc>
          <w:tcPr>
            <w:tcW w:w="1220" w:type="dxa"/>
            <w:tcBorders>
              <w:top w:val="nil"/>
              <w:left w:val="nil"/>
              <w:bottom w:val="single" w:sz="4" w:space="0" w:color="auto"/>
              <w:right w:val="single" w:sz="4" w:space="0" w:color="auto"/>
            </w:tcBorders>
            <w:shd w:val="clear" w:color="auto" w:fill="auto"/>
            <w:noWrap/>
            <w:vAlign w:val="center"/>
          </w:tcPr>
          <w:p w:rsidR="00AE0F03" w:rsidRPr="00BC55EC" w:rsidRDefault="00AE0F03" w:rsidP="00BC55EC">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rsidR="00AE0F03" w:rsidRPr="00BC55EC" w:rsidRDefault="00AE0F03" w:rsidP="00BC55EC">
            <w:pPr>
              <w:ind w:firstLineChars="100" w:firstLine="200"/>
              <w:jc w:val="right"/>
              <w:rPr>
                <w:sz w:val="20"/>
                <w:szCs w:val="20"/>
              </w:rPr>
            </w:pPr>
          </w:p>
        </w:tc>
      </w:tr>
      <w:tr w:rsidR="00AE0F03" w:rsidRPr="00433C22" w:rsidTr="00AE0F03">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9</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AE0F03" w:rsidRPr="00BC55EC" w:rsidRDefault="00AE0F03" w:rsidP="00AE0F03">
            <w:pPr>
              <w:rPr>
                <w:color w:val="000000"/>
                <w:sz w:val="20"/>
                <w:szCs w:val="20"/>
              </w:rPr>
            </w:pPr>
            <w:r w:rsidRPr="00BC55EC">
              <w:rPr>
                <w:color w:val="000000"/>
                <w:sz w:val="20"/>
                <w:szCs w:val="20"/>
              </w:rPr>
              <w:t xml:space="preserve">Polecone priorytetowe – przesyłki listowe rejestrowane </w:t>
            </w:r>
            <w:r w:rsidRPr="00BC55EC">
              <w:rPr>
                <w:color w:val="000000"/>
                <w:sz w:val="20"/>
                <w:szCs w:val="20"/>
              </w:rPr>
              <w:br w:type="page"/>
              <w:t xml:space="preserve">najszybszej kategorii </w:t>
            </w:r>
            <w:r w:rsidRPr="00BC55EC">
              <w:rPr>
                <w:color w:val="000000"/>
                <w:sz w:val="20"/>
                <w:szCs w:val="20"/>
              </w:rPr>
              <w:br w:type="page"/>
              <w:t xml:space="preserve">do krajów europejskich </w:t>
            </w:r>
            <w:r w:rsidRPr="00BC55EC">
              <w:rPr>
                <w:color w:val="000000"/>
                <w:sz w:val="20"/>
                <w:szCs w:val="20"/>
              </w:rPr>
              <w:br w:type="page"/>
              <w:t>(Strefa A - Europa łącznie z Cyprem, całą Rosją i Izraelem)</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right"/>
              <w:rPr>
                <w:color w:val="000000"/>
                <w:sz w:val="20"/>
                <w:szCs w:val="20"/>
              </w:rPr>
            </w:pPr>
            <w:r w:rsidRPr="00BC55EC">
              <w:rPr>
                <w:color w:val="000000"/>
                <w:sz w:val="20"/>
                <w:szCs w:val="20"/>
              </w:rPr>
              <w:t>ponad 50g  do 100g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color w:val="000000"/>
                <w:sz w:val="20"/>
                <w:szCs w:val="20"/>
              </w:rPr>
            </w:pPr>
            <w:r w:rsidRPr="00BC55EC">
              <w:rPr>
                <w:color w:val="000000"/>
                <w:sz w:val="20"/>
                <w:szCs w:val="20"/>
              </w:rPr>
              <w:t>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0F03" w:rsidRPr="00BC55EC" w:rsidRDefault="00AE0F03" w:rsidP="00AE0F03">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 </w:t>
            </w:r>
          </w:p>
        </w:tc>
      </w:tr>
      <w:tr w:rsidR="00AE0F03" w:rsidRPr="00433C22" w:rsidTr="00AE0F03">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AE0F03">
        <w:trPr>
          <w:gridAfter w:val="1"/>
          <w:wAfter w:w="146" w:type="dxa"/>
          <w:trHeight w:val="328"/>
        </w:trPr>
        <w:tc>
          <w:tcPr>
            <w:tcW w:w="493"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rsidR="00AE0F03" w:rsidRPr="00BC55EC" w:rsidRDefault="00AE0F03" w:rsidP="00AE0F03">
            <w:pPr>
              <w:rPr>
                <w:sz w:val="20"/>
                <w:szCs w:val="20"/>
              </w:rPr>
            </w:pPr>
          </w:p>
        </w:tc>
      </w:tr>
      <w:tr w:rsidR="00AE0F03" w:rsidRPr="00433C22" w:rsidTr="0056076F">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10</w:t>
            </w:r>
          </w:p>
        </w:tc>
        <w:tc>
          <w:tcPr>
            <w:tcW w:w="6364" w:type="dxa"/>
            <w:gridSpan w:val="2"/>
            <w:tcBorders>
              <w:top w:val="single" w:sz="4" w:space="0" w:color="auto"/>
              <w:left w:val="nil"/>
              <w:bottom w:val="single" w:sz="4" w:space="0" w:color="auto"/>
              <w:right w:val="single" w:sz="4" w:space="0" w:color="auto"/>
            </w:tcBorders>
            <w:shd w:val="clear" w:color="000000" w:fill="CCFFFF"/>
            <w:vAlign w:val="center"/>
            <w:hideMark/>
          </w:tcPr>
          <w:p w:rsidR="00AE0F03" w:rsidRPr="00BC55EC" w:rsidRDefault="00AE0F03" w:rsidP="00AE0F03">
            <w:pPr>
              <w:rPr>
                <w:sz w:val="20"/>
                <w:szCs w:val="20"/>
              </w:rPr>
            </w:pPr>
            <w:r w:rsidRPr="00BC55EC">
              <w:rPr>
                <w:sz w:val="20"/>
                <w:szCs w:val="20"/>
              </w:rPr>
              <w:t xml:space="preserve">Usługa – odbioru przesyłek z siedziby Zamawiającego </w:t>
            </w:r>
            <w:r w:rsidRPr="00BC55EC">
              <w:rPr>
                <w:sz w:val="20"/>
                <w:szCs w:val="20"/>
              </w:rPr>
              <w:br/>
            </w:r>
            <w:r w:rsidRPr="00BC55EC">
              <w:rPr>
                <w:i/>
                <w:iCs/>
                <w:sz w:val="20"/>
                <w:szCs w:val="20"/>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000000" w:fill="CCFFFF"/>
            <w:noWrap/>
            <w:vAlign w:val="center"/>
            <w:hideMark/>
          </w:tcPr>
          <w:p w:rsidR="00AE0F03" w:rsidRPr="00BC55EC" w:rsidRDefault="00AE0F03" w:rsidP="00AE0F03">
            <w:pPr>
              <w:jc w:val="center"/>
              <w:rPr>
                <w:sz w:val="20"/>
                <w:szCs w:val="20"/>
              </w:rPr>
            </w:pPr>
            <w:r w:rsidRPr="00BC55EC">
              <w:rPr>
                <w:sz w:val="20"/>
                <w:szCs w:val="20"/>
              </w:rPr>
              <w:t>12 miesięcy</w:t>
            </w:r>
          </w:p>
        </w:tc>
        <w:tc>
          <w:tcPr>
            <w:tcW w:w="1220" w:type="dxa"/>
            <w:tcBorders>
              <w:top w:val="nil"/>
              <w:left w:val="nil"/>
              <w:bottom w:val="single" w:sz="4" w:space="0" w:color="auto"/>
              <w:right w:val="single" w:sz="4" w:space="0" w:color="auto"/>
            </w:tcBorders>
            <w:shd w:val="clear" w:color="auto" w:fill="auto"/>
            <w:noWrap/>
            <w:vAlign w:val="center"/>
            <w:hideMark/>
          </w:tcPr>
          <w:p w:rsidR="00AE0F03" w:rsidRPr="00BC55EC" w:rsidRDefault="00AE0F03" w:rsidP="00BC55EC">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AE0F03" w:rsidRPr="00BC55EC" w:rsidRDefault="00AE0F03" w:rsidP="00BC55EC">
            <w:pPr>
              <w:ind w:firstLineChars="100" w:firstLine="200"/>
              <w:jc w:val="right"/>
              <w:rPr>
                <w:sz w:val="20"/>
                <w:szCs w:val="20"/>
              </w:rPr>
            </w:pPr>
            <w:r w:rsidRPr="00BC55EC">
              <w:rPr>
                <w:sz w:val="20"/>
                <w:szCs w:val="20"/>
              </w:rPr>
              <w:t> </w:t>
            </w:r>
          </w:p>
        </w:tc>
      </w:tr>
      <w:tr w:rsidR="00DA57EF" w:rsidRPr="00433C22" w:rsidTr="00DA57EF">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95583A">
            <w:pPr>
              <w:jc w:val="center"/>
              <w:rPr>
                <w:sz w:val="20"/>
                <w:szCs w:val="20"/>
              </w:rPr>
            </w:pPr>
            <w:r>
              <w:rPr>
                <w:sz w:val="20"/>
                <w:szCs w:val="20"/>
              </w:rPr>
              <w:t>11</w:t>
            </w:r>
          </w:p>
        </w:tc>
        <w:tc>
          <w:tcPr>
            <w:tcW w:w="3900" w:type="dxa"/>
            <w:tcBorders>
              <w:top w:val="single" w:sz="4" w:space="0" w:color="auto"/>
              <w:left w:val="nil"/>
              <w:bottom w:val="single" w:sz="4" w:space="0" w:color="auto"/>
              <w:right w:val="single" w:sz="4" w:space="0" w:color="auto"/>
            </w:tcBorders>
            <w:shd w:val="clear" w:color="000000" w:fill="CCFFFF"/>
            <w:vAlign w:val="center"/>
          </w:tcPr>
          <w:p w:rsidR="00DA57EF" w:rsidRPr="00BC55EC" w:rsidRDefault="00DA57EF" w:rsidP="00F85E15">
            <w:pPr>
              <w:rPr>
                <w:sz w:val="20"/>
                <w:szCs w:val="20"/>
              </w:rPr>
            </w:pPr>
            <w:r w:rsidRPr="00BC55EC">
              <w:rPr>
                <w:sz w:val="20"/>
                <w:szCs w:val="20"/>
              </w:rPr>
              <w:t xml:space="preserve">Paczki pocztowe </w:t>
            </w:r>
            <w:r w:rsidR="00F85E15">
              <w:rPr>
                <w:sz w:val="20"/>
                <w:szCs w:val="20"/>
              </w:rPr>
              <w:t>w obrocie krajowym –</w:t>
            </w:r>
            <w:r w:rsidRPr="00BC55EC">
              <w:rPr>
                <w:sz w:val="20"/>
                <w:szCs w:val="20"/>
              </w:rPr>
              <w:t xml:space="preserve"> EKONOMICZNE</w:t>
            </w:r>
            <w:r w:rsidR="00F85E15">
              <w:rPr>
                <w:sz w:val="20"/>
                <w:szCs w:val="20"/>
              </w:rPr>
              <w:t xml:space="preserve"> </w:t>
            </w:r>
            <w:r w:rsidRPr="00BC55EC">
              <w:rPr>
                <w:sz w:val="20"/>
                <w:szCs w:val="20"/>
              </w:rPr>
              <w:t>Gabaryt B</w:t>
            </w:r>
          </w:p>
        </w:tc>
        <w:tc>
          <w:tcPr>
            <w:tcW w:w="2464" w:type="dxa"/>
            <w:tcBorders>
              <w:top w:val="single" w:sz="4" w:space="0" w:color="auto"/>
              <w:left w:val="nil"/>
              <w:bottom w:val="single" w:sz="4" w:space="0" w:color="auto"/>
              <w:right w:val="single" w:sz="4" w:space="0" w:color="auto"/>
            </w:tcBorders>
            <w:shd w:val="clear" w:color="000000" w:fill="CCFFFF"/>
            <w:vAlign w:val="center"/>
          </w:tcPr>
          <w:p w:rsidR="00DA57EF" w:rsidRPr="00BC55EC" w:rsidRDefault="00DA57EF" w:rsidP="0095583A">
            <w:pPr>
              <w:jc w:val="right"/>
              <w:rPr>
                <w:sz w:val="20"/>
                <w:szCs w:val="20"/>
              </w:rPr>
            </w:pPr>
            <w:r w:rsidRPr="00BC55EC">
              <w:rPr>
                <w:sz w:val="20"/>
                <w:szCs w:val="20"/>
              </w:rPr>
              <w:t>ponad 2kg  do 10 kg</w:t>
            </w:r>
          </w:p>
        </w:tc>
        <w:tc>
          <w:tcPr>
            <w:tcW w:w="1420" w:type="dxa"/>
            <w:tcBorders>
              <w:top w:val="nil"/>
              <w:left w:val="single" w:sz="4" w:space="0" w:color="auto"/>
              <w:bottom w:val="single" w:sz="4" w:space="0" w:color="auto"/>
              <w:right w:val="single" w:sz="4" w:space="0" w:color="auto"/>
            </w:tcBorders>
            <w:shd w:val="clear" w:color="000000" w:fill="CCFFFF"/>
            <w:noWrap/>
            <w:vAlign w:val="center"/>
          </w:tcPr>
          <w:p w:rsidR="00DA57EF" w:rsidRPr="00BC55EC" w:rsidRDefault="00DA57EF" w:rsidP="0095583A">
            <w:pPr>
              <w:jc w:val="center"/>
              <w:rPr>
                <w:sz w:val="20"/>
                <w:szCs w:val="20"/>
              </w:rPr>
            </w:pPr>
            <w:r w:rsidRPr="00BC55EC">
              <w:rPr>
                <w:sz w:val="20"/>
                <w:szCs w:val="20"/>
              </w:rPr>
              <w:t>50</w:t>
            </w:r>
          </w:p>
        </w:tc>
        <w:tc>
          <w:tcPr>
            <w:tcW w:w="1220" w:type="dxa"/>
            <w:tcBorders>
              <w:top w:val="nil"/>
              <w:left w:val="nil"/>
              <w:bottom w:val="single" w:sz="4" w:space="0" w:color="auto"/>
              <w:right w:val="single" w:sz="4" w:space="0" w:color="auto"/>
            </w:tcBorders>
            <w:shd w:val="clear" w:color="auto" w:fill="auto"/>
            <w:noWrap/>
            <w:vAlign w:val="center"/>
            <w:hideMark/>
          </w:tcPr>
          <w:p w:rsidR="00DA57EF" w:rsidRPr="00BC55EC" w:rsidRDefault="00DA57EF" w:rsidP="0095583A">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rsidR="00DA57EF" w:rsidRPr="00BC55EC" w:rsidRDefault="00DA57EF" w:rsidP="0095583A">
            <w:pPr>
              <w:ind w:firstLineChars="100" w:firstLine="200"/>
              <w:jc w:val="right"/>
              <w:rPr>
                <w:sz w:val="20"/>
                <w:szCs w:val="20"/>
              </w:rPr>
            </w:pPr>
            <w:r w:rsidRPr="00BC55EC">
              <w:rPr>
                <w:sz w:val="20"/>
                <w:szCs w:val="20"/>
              </w:rPr>
              <w:t> </w:t>
            </w:r>
          </w:p>
        </w:tc>
      </w:tr>
      <w:tr w:rsidR="00DA57EF" w:rsidRPr="00433C22" w:rsidTr="0095583A">
        <w:trPr>
          <w:gridAfter w:val="1"/>
          <w:wAfter w:w="146" w:type="dxa"/>
          <w:trHeight w:val="552"/>
        </w:trPr>
        <w:tc>
          <w:tcPr>
            <w:tcW w:w="493" w:type="dxa"/>
            <w:tcBorders>
              <w:top w:val="nil"/>
              <w:left w:val="single" w:sz="4" w:space="0" w:color="auto"/>
              <w:bottom w:val="nil"/>
              <w:right w:val="single" w:sz="4" w:space="0" w:color="auto"/>
            </w:tcBorders>
            <w:shd w:val="clear" w:color="000000" w:fill="CCFFFF"/>
            <w:noWrap/>
            <w:vAlign w:val="center"/>
            <w:hideMark/>
          </w:tcPr>
          <w:p w:rsidR="00DA57EF" w:rsidRPr="00BC55EC" w:rsidRDefault="00064C7A" w:rsidP="00AE0F03">
            <w:pPr>
              <w:jc w:val="center"/>
              <w:rPr>
                <w:sz w:val="20"/>
                <w:szCs w:val="20"/>
              </w:rPr>
            </w:pPr>
            <w:r>
              <w:rPr>
                <w:sz w:val="20"/>
                <w:szCs w:val="20"/>
              </w:rPr>
              <w:t>12</w:t>
            </w:r>
          </w:p>
        </w:tc>
        <w:tc>
          <w:tcPr>
            <w:tcW w:w="3900" w:type="dxa"/>
            <w:tcBorders>
              <w:top w:val="nil"/>
              <w:left w:val="single" w:sz="4" w:space="0" w:color="auto"/>
              <w:bottom w:val="nil"/>
              <w:right w:val="single" w:sz="4" w:space="0" w:color="auto"/>
            </w:tcBorders>
            <w:shd w:val="clear" w:color="000000" w:fill="CCFFFF"/>
            <w:vAlign w:val="center"/>
          </w:tcPr>
          <w:p w:rsidR="00DA57EF" w:rsidRPr="00BC55EC" w:rsidRDefault="00DA57EF" w:rsidP="0095583A">
            <w:pPr>
              <w:rPr>
                <w:sz w:val="20"/>
                <w:szCs w:val="20"/>
              </w:rPr>
            </w:pPr>
            <w:r w:rsidRPr="00BC55EC">
              <w:rPr>
                <w:sz w:val="20"/>
                <w:szCs w:val="20"/>
              </w:rPr>
              <w:t>Przekazy elektroniczne</w:t>
            </w:r>
            <w:r>
              <w:rPr>
                <w:sz w:val="20"/>
                <w:szCs w:val="20"/>
              </w:rPr>
              <w:t xml:space="preserve"> (średnia wartość pojedynczego przekazu wynosi 2.000,00 zł)</w:t>
            </w:r>
          </w:p>
        </w:tc>
        <w:tc>
          <w:tcPr>
            <w:tcW w:w="3884" w:type="dxa"/>
            <w:gridSpan w:val="2"/>
            <w:tcBorders>
              <w:top w:val="nil"/>
              <w:left w:val="nil"/>
              <w:right w:val="single" w:sz="4" w:space="0" w:color="auto"/>
            </w:tcBorders>
            <w:shd w:val="clear" w:color="000000" w:fill="CCFFFF"/>
            <w:noWrap/>
            <w:vAlign w:val="center"/>
          </w:tcPr>
          <w:p w:rsidR="00DA57EF" w:rsidRPr="00BC55EC" w:rsidRDefault="00DA57EF" w:rsidP="00AE0F03">
            <w:pPr>
              <w:jc w:val="center"/>
              <w:rPr>
                <w:sz w:val="20"/>
                <w:szCs w:val="20"/>
              </w:rPr>
            </w:pPr>
            <w:r w:rsidRPr="00BC55EC">
              <w:rPr>
                <w:sz w:val="20"/>
                <w:szCs w:val="20"/>
              </w:rPr>
              <w:t>10 razy w roku</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7EF" w:rsidRPr="00BC55EC" w:rsidRDefault="00DA57EF" w:rsidP="00AE0F03">
            <w:pPr>
              <w:jc w:val="center"/>
              <w:rPr>
                <w:color w:val="FF0000"/>
                <w:sz w:val="20"/>
                <w:szCs w:val="20"/>
              </w:rPr>
            </w:pPr>
            <w:r w:rsidRPr="00BC55EC">
              <w:rPr>
                <w:color w:val="FF0000"/>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AE0F03">
            <w:pPr>
              <w:jc w:val="center"/>
              <w:rPr>
                <w:color w:val="FF0000"/>
                <w:sz w:val="20"/>
                <w:szCs w:val="20"/>
              </w:rPr>
            </w:pPr>
            <w:r w:rsidRPr="00BC55EC">
              <w:rPr>
                <w:color w:val="FF0000"/>
                <w:sz w:val="20"/>
                <w:szCs w:val="20"/>
              </w:rPr>
              <w:t> </w:t>
            </w:r>
          </w:p>
        </w:tc>
      </w:tr>
      <w:tr w:rsidR="00DA57EF" w:rsidRPr="00433C22" w:rsidTr="008F2F24">
        <w:trPr>
          <w:gridAfter w:val="1"/>
          <w:wAfter w:w="146" w:type="dxa"/>
          <w:trHeight w:val="552"/>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064C7A" w:rsidP="0095583A">
            <w:pPr>
              <w:jc w:val="center"/>
              <w:rPr>
                <w:sz w:val="20"/>
                <w:szCs w:val="20"/>
              </w:rPr>
            </w:pPr>
            <w:r>
              <w:rPr>
                <w:sz w:val="20"/>
                <w:szCs w:val="20"/>
              </w:rPr>
              <w:t>13</w:t>
            </w:r>
          </w:p>
        </w:tc>
        <w:tc>
          <w:tcPr>
            <w:tcW w:w="39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A57EF" w:rsidRPr="00BC55EC" w:rsidRDefault="00DA57EF" w:rsidP="00165382">
            <w:pPr>
              <w:rPr>
                <w:sz w:val="20"/>
                <w:szCs w:val="20"/>
              </w:rPr>
            </w:pPr>
            <w:r w:rsidRPr="00DC6758">
              <w:rPr>
                <w:sz w:val="20"/>
                <w:szCs w:val="20"/>
              </w:rPr>
              <w:t>Zwrot przekazu elektronicznego</w:t>
            </w:r>
          </w:p>
        </w:tc>
        <w:tc>
          <w:tcPr>
            <w:tcW w:w="3884"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DA57EF" w:rsidRPr="00BC55EC" w:rsidRDefault="00DA57EF" w:rsidP="008F2F24">
            <w:pPr>
              <w:jc w:val="center"/>
              <w:rPr>
                <w:sz w:val="20"/>
                <w:szCs w:val="20"/>
              </w:rPr>
            </w:pPr>
            <w:r w:rsidRPr="008F2F24">
              <w:rPr>
                <w:sz w:val="20"/>
                <w:szCs w:val="20"/>
              </w:rPr>
              <w:t>10 razy w roku</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7EF" w:rsidRPr="00BC55EC" w:rsidRDefault="00DA57EF" w:rsidP="0095583A">
            <w:pPr>
              <w:jc w:val="center"/>
              <w:rPr>
                <w:color w:val="FF0000"/>
                <w:sz w:val="20"/>
                <w:szCs w:val="20"/>
              </w:rPr>
            </w:pPr>
            <w:r w:rsidRPr="00BC55EC">
              <w:rPr>
                <w:color w:val="FF0000"/>
                <w:sz w:val="20"/>
                <w:szCs w:val="20"/>
              </w:rPr>
              <w:t> </w:t>
            </w:r>
          </w:p>
        </w:tc>
        <w:tc>
          <w:tcPr>
            <w:tcW w:w="150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A57EF" w:rsidRPr="00BC55EC" w:rsidRDefault="00DA57EF" w:rsidP="0095583A">
            <w:pPr>
              <w:jc w:val="center"/>
              <w:rPr>
                <w:color w:val="FF0000"/>
                <w:sz w:val="20"/>
                <w:szCs w:val="20"/>
              </w:rPr>
            </w:pPr>
            <w:r w:rsidRPr="00BC55EC">
              <w:rPr>
                <w:color w:val="FF0000"/>
                <w:sz w:val="20"/>
                <w:szCs w:val="20"/>
              </w:rPr>
              <w:t> </w:t>
            </w:r>
          </w:p>
        </w:tc>
      </w:tr>
      <w:tr w:rsidR="00DA57EF" w:rsidRPr="00433C22" w:rsidTr="0095583A">
        <w:trPr>
          <w:gridAfter w:val="1"/>
          <w:wAfter w:w="146" w:type="dxa"/>
          <w:trHeight w:val="545"/>
        </w:trPr>
        <w:tc>
          <w:tcPr>
            <w:tcW w:w="6857" w:type="dxa"/>
            <w:gridSpan w:val="3"/>
            <w:tcBorders>
              <w:top w:val="single" w:sz="4" w:space="0" w:color="auto"/>
              <w:left w:val="nil"/>
              <w:bottom w:val="nil"/>
              <w:right w:val="nil"/>
            </w:tcBorders>
            <w:shd w:val="clear" w:color="auto" w:fill="auto"/>
            <w:noWrap/>
            <w:vAlign w:val="center"/>
            <w:hideMark/>
          </w:tcPr>
          <w:p w:rsidR="00DA57EF" w:rsidRPr="00DC6758" w:rsidRDefault="00DA57EF" w:rsidP="00DC6758">
            <w:pPr>
              <w:jc w:val="both"/>
              <w:rPr>
                <w:sz w:val="16"/>
                <w:szCs w:val="16"/>
              </w:rPr>
            </w:pPr>
            <w:r w:rsidRPr="00DC6758">
              <w:rPr>
                <w:color w:val="FF0000"/>
                <w:sz w:val="16"/>
                <w:szCs w:val="16"/>
              </w:rPr>
              <w:t>*</w:t>
            </w:r>
            <w:r w:rsidRPr="00DC6758">
              <w:rPr>
                <w:sz w:val="16"/>
                <w:szCs w:val="16"/>
              </w:rPr>
              <w:t>- Zamawiający zastrzega, że podane ilości mają charakter szacunkowy oraz prawo do zmiany ilości przesyłek danego rodzaju w czasie trwania umowy.</w:t>
            </w:r>
          </w:p>
          <w:p w:rsidR="00DA57EF" w:rsidRPr="00DC6758" w:rsidRDefault="00DA57EF" w:rsidP="00DC6758">
            <w:pPr>
              <w:jc w:val="both"/>
              <w:rPr>
                <w:sz w:val="16"/>
                <w:szCs w:val="16"/>
              </w:rPr>
            </w:pPr>
            <w:r w:rsidRPr="00DC6758">
              <w:rPr>
                <w:color w:val="FF0000"/>
                <w:sz w:val="16"/>
                <w:szCs w:val="16"/>
              </w:rPr>
              <w:t>**</w:t>
            </w:r>
            <w:r w:rsidRPr="00DC6758">
              <w:rPr>
                <w:sz w:val="16"/>
                <w:szCs w:val="16"/>
              </w:rPr>
              <w:t xml:space="preserve"> -</w:t>
            </w:r>
            <w:r>
              <w:rPr>
                <w:sz w:val="16"/>
                <w:szCs w:val="16"/>
              </w:rPr>
              <w:t xml:space="preserve"> </w:t>
            </w:r>
            <w:r w:rsidRPr="00DC6758">
              <w:rPr>
                <w:sz w:val="16"/>
                <w:szCs w:val="16"/>
              </w:rPr>
              <w:t>Ceny jednostkowe stanowić będą podstawę rozliczeń z Wykonawcą po podpisaniu umowy.</w:t>
            </w:r>
          </w:p>
        </w:tc>
        <w:tc>
          <w:tcPr>
            <w:tcW w:w="1420" w:type="dxa"/>
            <w:tcBorders>
              <w:top w:val="single" w:sz="4" w:space="0" w:color="auto"/>
              <w:left w:val="nil"/>
              <w:bottom w:val="nil"/>
              <w:right w:val="nil"/>
            </w:tcBorders>
            <w:shd w:val="clear" w:color="auto" w:fill="auto"/>
            <w:noWrap/>
            <w:vAlign w:val="center"/>
            <w:hideMark/>
          </w:tcPr>
          <w:p w:rsidR="00DA57EF" w:rsidRPr="00433C22" w:rsidRDefault="00DA57EF" w:rsidP="00AE0F03">
            <w:pPr>
              <w:jc w:val="center"/>
              <w:rPr>
                <w:sz w:val="18"/>
                <w:szCs w:val="18"/>
              </w:rPr>
            </w:pPr>
          </w:p>
        </w:tc>
        <w:tc>
          <w:tcPr>
            <w:tcW w:w="1220" w:type="dxa"/>
            <w:tcBorders>
              <w:top w:val="single" w:sz="4" w:space="0" w:color="auto"/>
              <w:left w:val="nil"/>
              <w:bottom w:val="nil"/>
              <w:right w:val="nil"/>
            </w:tcBorders>
            <w:shd w:val="clear" w:color="auto" w:fill="auto"/>
            <w:noWrap/>
            <w:vAlign w:val="center"/>
            <w:hideMark/>
          </w:tcPr>
          <w:p w:rsidR="00DA57EF" w:rsidRPr="00433C22" w:rsidRDefault="00DA57EF" w:rsidP="00AE0F03">
            <w:pPr>
              <w:jc w:val="center"/>
              <w:rPr>
                <w:b/>
                <w:bCs/>
                <w:sz w:val="18"/>
                <w:szCs w:val="18"/>
              </w:rPr>
            </w:pPr>
            <w:r w:rsidRPr="0056076F">
              <w:rPr>
                <w:b/>
                <w:bCs/>
                <w:szCs w:val="18"/>
              </w:rPr>
              <w:t>Razem:</w:t>
            </w:r>
            <w:r w:rsidRPr="00433C22">
              <w:rPr>
                <w:b/>
                <w:bCs/>
                <w:sz w:val="18"/>
                <w:szCs w:val="18"/>
              </w:rPr>
              <w:t xml:space="preserve"> </w:t>
            </w:r>
          </w:p>
        </w:tc>
        <w:tc>
          <w:tcPr>
            <w:tcW w:w="1507" w:type="dxa"/>
            <w:tcBorders>
              <w:top w:val="nil"/>
              <w:left w:val="single" w:sz="4" w:space="0" w:color="auto"/>
              <w:bottom w:val="single" w:sz="4" w:space="0" w:color="auto"/>
              <w:right w:val="single" w:sz="4" w:space="0" w:color="auto"/>
            </w:tcBorders>
            <w:shd w:val="clear" w:color="000000" w:fill="CCFFFF"/>
            <w:noWrap/>
            <w:vAlign w:val="center"/>
            <w:hideMark/>
          </w:tcPr>
          <w:p w:rsidR="00DA57EF" w:rsidRPr="00433C22" w:rsidRDefault="00DA57EF" w:rsidP="00AE0F03">
            <w:pPr>
              <w:ind w:firstLineChars="100" w:firstLine="181"/>
              <w:jc w:val="right"/>
              <w:rPr>
                <w:b/>
                <w:bCs/>
                <w:sz w:val="18"/>
                <w:szCs w:val="18"/>
              </w:rPr>
            </w:pPr>
            <w:r w:rsidRPr="00433C22">
              <w:rPr>
                <w:b/>
                <w:bCs/>
                <w:sz w:val="18"/>
                <w:szCs w:val="18"/>
              </w:rPr>
              <w:t> </w:t>
            </w:r>
          </w:p>
        </w:tc>
      </w:tr>
      <w:tr w:rsidR="00DA57EF" w:rsidRPr="006D7CA7" w:rsidTr="009567E2">
        <w:trPr>
          <w:trHeight w:val="1111"/>
        </w:trPr>
        <w:tc>
          <w:tcPr>
            <w:tcW w:w="493"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3900" w:type="dxa"/>
            <w:tcBorders>
              <w:top w:val="nil"/>
              <w:left w:val="nil"/>
              <w:bottom w:val="nil"/>
              <w:right w:val="nil"/>
            </w:tcBorders>
            <w:shd w:val="clear" w:color="auto" w:fill="auto"/>
            <w:vAlign w:val="bottom"/>
            <w:hideMark/>
          </w:tcPr>
          <w:p w:rsidR="00DA57EF" w:rsidRPr="006D7CA7" w:rsidRDefault="00DA57EF" w:rsidP="006D7CA7">
            <w:pPr>
              <w:jc w:val="center"/>
              <w:rPr>
                <w:color w:val="000000"/>
                <w:sz w:val="18"/>
                <w:szCs w:val="18"/>
              </w:rPr>
            </w:pPr>
            <w:r w:rsidRPr="006D7CA7">
              <w:rPr>
                <w:color w:val="000000"/>
                <w:sz w:val="18"/>
                <w:szCs w:val="18"/>
              </w:rPr>
              <w:t>............................................</w:t>
            </w:r>
          </w:p>
        </w:tc>
        <w:tc>
          <w:tcPr>
            <w:tcW w:w="2464"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4147" w:type="dxa"/>
            <w:gridSpan w:val="3"/>
            <w:tcBorders>
              <w:top w:val="nil"/>
              <w:left w:val="nil"/>
              <w:bottom w:val="nil"/>
              <w:right w:val="nil"/>
            </w:tcBorders>
            <w:shd w:val="clear" w:color="auto" w:fill="auto"/>
            <w:vAlign w:val="bottom"/>
            <w:hideMark/>
          </w:tcPr>
          <w:p w:rsidR="00DA57EF" w:rsidRPr="006D7CA7" w:rsidRDefault="00DA57EF" w:rsidP="006D7CA7">
            <w:pPr>
              <w:jc w:val="center"/>
              <w:rPr>
                <w:color w:val="000000"/>
                <w:sz w:val="18"/>
                <w:szCs w:val="18"/>
              </w:rPr>
            </w:pPr>
            <w:r w:rsidRPr="006D7CA7">
              <w:rPr>
                <w:color w:val="000000"/>
                <w:sz w:val="18"/>
                <w:szCs w:val="18"/>
              </w:rPr>
              <w:t>..................................................................................</w:t>
            </w:r>
          </w:p>
        </w:tc>
        <w:tc>
          <w:tcPr>
            <w:tcW w:w="146" w:type="dxa"/>
            <w:vAlign w:val="center"/>
            <w:hideMark/>
          </w:tcPr>
          <w:p w:rsidR="00DA57EF" w:rsidRPr="006D7CA7" w:rsidRDefault="00DA57EF" w:rsidP="006D7CA7">
            <w:pPr>
              <w:rPr>
                <w:sz w:val="18"/>
                <w:szCs w:val="18"/>
              </w:rPr>
            </w:pPr>
          </w:p>
        </w:tc>
      </w:tr>
      <w:tr w:rsidR="00DA57EF" w:rsidRPr="006D7CA7" w:rsidTr="009567E2">
        <w:trPr>
          <w:trHeight w:val="712"/>
        </w:trPr>
        <w:tc>
          <w:tcPr>
            <w:tcW w:w="493"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3900" w:type="dxa"/>
            <w:tcBorders>
              <w:top w:val="nil"/>
              <w:left w:val="nil"/>
              <w:bottom w:val="nil"/>
              <w:right w:val="nil"/>
            </w:tcBorders>
            <w:shd w:val="clear" w:color="auto" w:fill="auto"/>
            <w:hideMark/>
          </w:tcPr>
          <w:p w:rsidR="00DA57EF" w:rsidRPr="006D7CA7" w:rsidRDefault="00DA57EF" w:rsidP="006D7CA7">
            <w:pPr>
              <w:jc w:val="center"/>
              <w:rPr>
                <w:i/>
                <w:iCs/>
                <w:color w:val="000000"/>
                <w:sz w:val="18"/>
                <w:szCs w:val="18"/>
              </w:rPr>
            </w:pPr>
            <w:r w:rsidRPr="006D7CA7">
              <w:rPr>
                <w:i/>
                <w:iCs/>
                <w:color w:val="000000"/>
                <w:sz w:val="18"/>
                <w:szCs w:val="18"/>
              </w:rPr>
              <w:t>miejscowość i data</w:t>
            </w:r>
          </w:p>
        </w:tc>
        <w:tc>
          <w:tcPr>
            <w:tcW w:w="2464" w:type="dxa"/>
            <w:tcBorders>
              <w:top w:val="nil"/>
              <w:left w:val="nil"/>
              <w:bottom w:val="nil"/>
              <w:right w:val="nil"/>
            </w:tcBorders>
            <w:shd w:val="clear" w:color="auto" w:fill="auto"/>
            <w:noWrap/>
            <w:vAlign w:val="bottom"/>
            <w:hideMark/>
          </w:tcPr>
          <w:p w:rsidR="00DA57EF" w:rsidRPr="006D7CA7" w:rsidRDefault="00DA57EF" w:rsidP="006D7CA7">
            <w:pPr>
              <w:rPr>
                <w:sz w:val="18"/>
                <w:szCs w:val="18"/>
              </w:rPr>
            </w:pPr>
          </w:p>
        </w:tc>
        <w:tc>
          <w:tcPr>
            <w:tcW w:w="4147" w:type="dxa"/>
            <w:gridSpan w:val="3"/>
            <w:tcBorders>
              <w:top w:val="nil"/>
              <w:left w:val="nil"/>
              <w:bottom w:val="nil"/>
              <w:right w:val="nil"/>
            </w:tcBorders>
            <w:shd w:val="clear" w:color="auto" w:fill="auto"/>
            <w:vAlign w:val="bottom"/>
            <w:hideMark/>
          </w:tcPr>
          <w:p w:rsidR="00DA57EF" w:rsidRDefault="00DA57EF" w:rsidP="00DA57EF">
            <w:pPr>
              <w:jc w:val="center"/>
              <w:rPr>
                <w:i/>
                <w:iCs/>
                <w:color w:val="000000"/>
                <w:sz w:val="18"/>
                <w:szCs w:val="18"/>
              </w:rPr>
            </w:pPr>
            <w:r w:rsidRPr="006D7CA7">
              <w:rPr>
                <w:i/>
                <w:iCs/>
                <w:color w:val="000000"/>
                <w:sz w:val="18"/>
                <w:szCs w:val="18"/>
              </w:rPr>
              <w:t>czytelny podpis lub podpis z pieczątką imienną</w:t>
            </w:r>
            <w:r w:rsidRPr="006D7CA7">
              <w:rPr>
                <w:i/>
                <w:iCs/>
                <w:color w:val="000000"/>
                <w:sz w:val="18"/>
                <w:szCs w:val="18"/>
              </w:rPr>
              <w:br/>
              <w:t>osoby/osób upoważnionej/upoważnionych</w:t>
            </w:r>
            <w:r>
              <w:rPr>
                <w:i/>
                <w:iCs/>
                <w:color w:val="000000"/>
                <w:sz w:val="18"/>
                <w:szCs w:val="18"/>
              </w:rPr>
              <w:t xml:space="preserve"> </w:t>
            </w:r>
            <w:r w:rsidR="00EA0BE0">
              <w:rPr>
                <w:i/>
                <w:iCs/>
                <w:color w:val="000000"/>
                <w:sz w:val="18"/>
                <w:szCs w:val="18"/>
              </w:rPr>
              <w:br/>
            </w:r>
            <w:r w:rsidRPr="006D7CA7">
              <w:rPr>
                <w:i/>
                <w:iCs/>
                <w:color w:val="000000"/>
                <w:sz w:val="18"/>
                <w:szCs w:val="18"/>
              </w:rPr>
              <w:t>do reprezentowania Wykonawcy</w:t>
            </w:r>
          </w:p>
          <w:p w:rsidR="00EA0BE0" w:rsidRDefault="00EA0BE0" w:rsidP="00DA57EF">
            <w:pPr>
              <w:jc w:val="center"/>
              <w:rPr>
                <w:i/>
                <w:iCs/>
                <w:color w:val="000000"/>
                <w:sz w:val="18"/>
                <w:szCs w:val="18"/>
              </w:rPr>
            </w:pPr>
          </w:p>
          <w:p w:rsidR="00EA0BE0" w:rsidRPr="006D7CA7" w:rsidRDefault="00EA0BE0" w:rsidP="00DA57EF">
            <w:pPr>
              <w:jc w:val="center"/>
              <w:rPr>
                <w:i/>
                <w:iCs/>
                <w:color w:val="000000"/>
                <w:sz w:val="18"/>
                <w:szCs w:val="18"/>
              </w:rPr>
            </w:pPr>
          </w:p>
        </w:tc>
        <w:tc>
          <w:tcPr>
            <w:tcW w:w="146" w:type="dxa"/>
            <w:vAlign w:val="center"/>
            <w:hideMark/>
          </w:tcPr>
          <w:p w:rsidR="00DA57EF" w:rsidRPr="006D7CA7" w:rsidRDefault="00DA57EF" w:rsidP="006D7CA7">
            <w:pPr>
              <w:rPr>
                <w:sz w:val="18"/>
                <w:szCs w:val="18"/>
              </w:rPr>
            </w:pPr>
          </w:p>
        </w:tc>
      </w:tr>
    </w:tbl>
    <w:p w:rsidR="00EA0BE0" w:rsidRDefault="00EA0BE0" w:rsidP="00EA0BE0">
      <w:pPr>
        <w:tabs>
          <w:tab w:val="left" w:pos="3118"/>
        </w:tabs>
        <w:spacing w:line="276" w:lineRule="auto"/>
        <w:jc w:val="center"/>
      </w:pPr>
      <w:r>
        <w:lastRenderedPageBreak/>
        <w:t>ZAŁĄCZNIK NR 2A DO OGŁOSZENIA CZĘŚĆ 2 – OR Lublin</w:t>
      </w:r>
    </w:p>
    <w:tbl>
      <w:tblPr>
        <w:tblW w:w="11345" w:type="dxa"/>
        <w:tblInd w:w="-923" w:type="dxa"/>
        <w:tblLayout w:type="fixed"/>
        <w:tblCellMar>
          <w:left w:w="70" w:type="dxa"/>
          <w:right w:w="70" w:type="dxa"/>
        </w:tblCellMar>
        <w:tblLook w:val="04A0" w:firstRow="1" w:lastRow="0" w:firstColumn="1" w:lastColumn="0" w:noHBand="0" w:noVBand="1"/>
      </w:tblPr>
      <w:tblGrid>
        <w:gridCol w:w="282"/>
        <w:gridCol w:w="709"/>
        <w:gridCol w:w="3915"/>
        <w:gridCol w:w="2493"/>
        <w:gridCol w:w="865"/>
        <w:gridCol w:w="372"/>
        <w:gridCol w:w="12"/>
        <w:gridCol w:w="835"/>
        <w:gridCol w:w="428"/>
        <w:gridCol w:w="13"/>
        <w:gridCol w:w="1065"/>
        <w:gridCol w:w="160"/>
        <w:gridCol w:w="36"/>
        <w:gridCol w:w="160"/>
      </w:tblGrid>
      <w:tr w:rsidR="00EA0BE0" w:rsidRPr="00A7352A" w:rsidTr="00EA0BE0">
        <w:trPr>
          <w:gridBefore w:val="1"/>
          <w:gridAfter w:val="1"/>
          <w:wBefore w:w="282" w:type="dxa"/>
          <w:wAfter w:w="160" w:type="dxa"/>
          <w:trHeight w:val="300"/>
        </w:trPr>
        <w:tc>
          <w:tcPr>
            <w:tcW w:w="10903" w:type="dxa"/>
            <w:gridSpan w:val="12"/>
            <w:tcBorders>
              <w:top w:val="nil"/>
              <w:left w:val="nil"/>
              <w:bottom w:val="single" w:sz="4" w:space="0" w:color="auto"/>
              <w:right w:val="nil"/>
            </w:tcBorders>
            <w:shd w:val="clear" w:color="auto" w:fill="auto"/>
            <w:noWrap/>
            <w:vAlign w:val="center"/>
            <w:hideMark/>
          </w:tcPr>
          <w:p w:rsidR="00EA0BE0" w:rsidRPr="00A7352A" w:rsidRDefault="00EA0BE0" w:rsidP="0095583A">
            <w:pPr>
              <w:jc w:val="center"/>
              <w:rPr>
                <w:b/>
                <w:bCs/>
                <w:sz w:val="20"/>
                <w:szCs w:val="20"/>
              </w:rPr>
            </w:pPr>
            <w:bookmarkStart w:id="1" w:name="RANGE!B1:H65"/>
            <w:r w:rsidRPr="00A7352A">
              <w:rPr>
                <w:b/>
                <w:bCs/>
                <w:sz w:val="20"/>
                <w:szCs w:val="20"/>
              </w:rPr>
              <w:t>Formularz cenowy</w:t>
            </w:r>
            <w:bookmarkEnd w:id="1"/>
            <w:r w:rsidRPr="00A7352A">
              <w:rPr>
                <w:b/>
                <w:bCs/>
                <w:sz w:val="20"/>
                <w:szCs w:val="20"/>
              </w:rPr>
              <w:t xml:space="preserve"> </w:t>
            </w:r>
            <w:r>
              <w:rPr>
                <w:b/>
                <w:bCs/>
                <w:sz w:val="20"/>
                <w:szCs w:val="20"/>
              </w:rPr>
              <w:t>szczegółowy</w:t>
            </w:r>
          </w:p>
        </w:tc>
      </w:tr>
      <w:tr w:rsidR="00EA0BE0" w:rsidRPr="005867B1" w:rsidTr="00EA0BE0">
        <w:trPr>
          <w:gridBefore w:val="1"/>
          <w:gridAfter w:val="1"/>
          <w:wBefore w:w="282" w:type="dxa"/>
          <w:wAfter w:w="160" w:type="dxa"/>
          <w:trHeight w:val="40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Poz.</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Rodzaj przesyłki, nazwa usługi</w:t>
            </w:r>
          </w:p>
        </w:tc>
        <w:tc>
          <w:tcPr>
            <w:tcW w:w="2493"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Waga przesyłki</w:t>
            </w:r>
          </w:p>
        </w:tc>
        <w:tc>
          <w:tcPr>
            <w:tcW w:w="1237" w:type="dxa"/>
            <w:gridSpan w:val="2"/>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Przewidywana ilość</w:t>
            </w:r>
            <w:r w:rsidRPr="005867B1">
              <w:rPr>
                <w:b/>
                <w:i/>
                <w:iCs/>
                <w:color w:val="FF0000"/>
              </w:rPr>
              <w:t>*</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Cena jedn.</w:t>
            </w:r>
            <w:r w:rsidRPr="005867B1">
              <w:rPr>
                <w:b/>
                <w:i/>
                <w:iCs/>
                <w:color w:val="008080"/>
                <w:sz w:val="18"/>
                <w:szCs w:val="18"/>
              </w:rPr>
              <w:br/>
              <w:t>brutto</w:t>
            </w:r>
            <w:r w:rsidRPr="005867B1">
              <w:rPr>
                <w:b/>
                <w:i/>
                <w:iCs/>
                <w:color w:val="FF0000"/>
              </w:rPr>
              <w:t>**</w:t>
            </w:r>
          </w:p>
        </w:tc>
        <w:tc>
          <w:tcPr>
            <w:tcW w:w="1274" w:type="dxa"/>
            <w:gridSpan w:val="4"/>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EA0BE0" w:rsidRPr="005867B1" w:rsidRDefault="00EA0BE0" w:rsidP="0095583A">
            <w:pPr>
              <w:jc w:val="center"/>
              <w:rPr>
                <w:b/>
                <w:i/>
                <w:iCs/>
                <w:color w:val="008080"/>
                <w:sz w:val="18"/>
                <w:szCs w:val="18"/>
              </w:rPr>
            </w:pPr>
            <w:r w:rsidRPr="005867B1">
              <w:rPr>
                <w:b/>
                <w:i/>
                <w:iCs/>
                <w:color w:val="008080"/>
                <w:sz w:val="18"/>
                <w:szCs w:val="18"/>
              </w:rPr>
              <w:t>Wartość brutto</w:t>
            </w:r>
            <w:r w:rsidRPr="005867B1">
              <w:rPr>
                <w:b/>
                <w:i/>
                <w:iCs/>
                <w:color w:val="008080"/>
                <w:sz w:val="18"/>
                <w:szCs w:val="18"/>
              </w:rPr>
              <w:br/>
              <w:t>kol. 4 x 5</w:t>
            </w:r>
          </w:p>
        </w:tc>
      </w:tr>
      <w:tr w:rsidR="00EA0BE0" w:rsidRPr="005867B1" w:rsidTr="00EA0BE0">
        <w:trPr>
          <w:gridBefore w:val="1"/>
          <w:gridAfter w:val="1"/>
          <w:wBefore w:w="282" w:type="dxa"/>
          <w:wAfter w:w="160" w:type="dxa"/>
          <w:trHeight w:val="4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c>
          <w:tcPr>
            <w:tcW w:w="1274" w:type="dxa"/>
            <w:gridSpan w:val="4"/>
            <w:vMerge/>
            <w:tcBorders>
              <w:top w:val="single" w:sz="4" w:space="0" w:color="auto"/>
              <w:left w:val="single" w:sz="4" w:space="0" w:color="auto"/>
              <w:bottom w:val="single" w:sz="4" w:space="0" w:color="auto"/>
              <w:right w:val="single" w:sz="4" w:space="0" w:color="auto"/>
            </w:tcBorders>
            <w:vAlign w:val="center"/>
            <w:hideMark/>
          </w:tcPr>
          <w:p w:rsidR="00EA0BE0" w:rsidRPr="005867B1" w:rsidRDefault="00EA0BE0" w:rsidP="0095583A">
            <w:pPr>
              <w:rPr>
                <w:b/>
                <w:i/>
                <w:iCs/>
                <w:color w:val="008080"/>
                <w:sz w:val="18"/>
                <w:szCs w:val="18"/>
              </w:rPr>
            </w:pPr>
          </w:p>
        </w:tc>
      </w:tr>
      <w:tr w:rsidR="00EA0BE0" w:rsidRPr="005867B1" w:rsidTr="00EA0BE0">
        <w:trPr>
          <w:gridBefore w:val="1"/>
          <w:gridAfter w:val="1"/>
          <w:wBefore w:w="282" w:type="dxa"/>
          <w:wAfter w:w="160" w:type="dxa"/>
          <w:trHeight w:val="180"/>
        </w:trPr>
        <w:tc>
          <w:tcPr>
            <w:tcW w:w="709"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1</w:t>
            </w:r>
          </w:p>
        </w:tc>
        <w:tc>
          <w:tcPr>
            <w:tcW w:w="3915" w:type="dxa"/>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2</w:t>
            </w:r>
          </w:p>
        </w:tc>
        <w:tc>
          <w:tcPr>
            <w:tcW w:w="2493" w:type="dxa"/>
            <w:tcBorders>
              <w:top w:val="single" w:sz="4" w:space="0" w:color="auto"/>
              <w:left w:val="nil"/>
              <w:bottom w:val="single" w:sz="4" w:space="0" w:color="auto"/>
              <w:right w:val="nil"/>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3</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4</w:t>
            </w:r>
          </w:p>
        </w:tc>
        <w:tc>
          <w:tcPr>
            <w:tcW w:w="1275" w:type="dxa"/>
            <w:gridSpan w:val="3"/>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5</w:t>
            </w:r>
          </w:p>
        </w:tc>
        <w:tc>
          <w:tcPr>
            <w:tcW w:w="1274" w:type="dxa"/>
            <w:gridSpan w:val="4"/>
            <w:tcBorders>
              <w:top w:val="single" w:sz="4" w:space="0" w:color="auto"/>
              <w:left w:val="nil"/>
              <w:bottom w:val="single" w:sz="4" w:space="0" w:color="auto"/>
              <w:right w:val="single" w:sz="4" w:space="0" w:color="auto"/>
            </w:tcBorders>
            <w:shd w:val="clear" w:color="000000" w:fill="CCFFCC"/>
            <w:noWrap/>
            <w:vAlign w:val="center"/>
            <w:hideMark/>
          </w:tcPr>
          <w:p w:rsidR="00EA0BE0" w:rsidRPr="005867B1" w:rsidRDefault="00EA0BE0" w:rsidP="0095583A">
            <w:pPr>
              <w:jc w:val="center"/>
              <w:rPr>
                <w:b/>
                <w:i/>
                <w:iCs/>
                <w:color w:val="008080"/>
                <w:sz w:val="14"/>
                <w:szCs w:val="14"/>
              </w:rPr>
            </w:pPr>
            <w:r w:rsidRPr="005867B1">
              <w:rPr>
                <w:b/>
                <w:i/>
                <w:iCs/>
                <w:color w:val="008080"/>
                <w:sz w:val="14"/>
                <w:szCs w:val="14"/>
              </w:rPr>
              <w:t>6</w:t>
            </w:r>
          </w:p>
        </w:tc>
      </w:tr>
      <w:tr w:rsidR="00EA0BE0" w:rsidRPr="00433C22" w:rsidTr="00EA0BE0">
        <w:trPr>
          <w:gridAfter w:val="2"/>
          <w:wAfter w:w="196" w:type="dxa"/>
          <w:trHeight w:val="263"/>
        </w:trPr>
        <w:tc>
          <w:tcPr>
            <w:tcW w:w="8264" w:type="dxa"/>
            <w:gridSpan w:val="5"/>
            <w:tcBorders>
              <w:top w:val="nil"/>
              <w:left w:val="nil"/>
              <w:bottom w:val="nil"/>
              <w:right w:val="nil"/>
            </w:tcBorders>
            <w:shd w:val="clear" w:color="auto" w:fill="auto"/>
            <w:noWrap/>
            <w:vAlign w:val="center"/>
            <w:hideMark/>
          </w:tcPr>
          <w:p w:rsidR="00EA0BE0" w:rsidRPr="00433C22" w:rsidRDefault="00EA0BE0" w:rsidP="0095583A">
            <w:pPr>
              <w:ind w:firstLineChars="276" w:firstLine="497"/>
              <w:rPr>
                <w:sz w:val="18"/>
                <w:szCs w:val="18"/>
              </w:rPr>
            </w:pPr>
            <w:r w:rsidRPr="00433C22">
              <w:rPr>
                <w:sz w:val="18"/>
                <w:szCs w:val="18"/>
              </w:rPr>
              <w:t>Usługi pocztowe w obrocie krajowym i zagranicznym:</w:t>
            </w:r>
          </w:p>
        </w:tc>
        <w:tc>
          <w:tcPr>
            <w:tcW w:w="1219" w:type="dxa"/>
            <w:gridSpan w:val="3"/>
            <w:tcBorders>
              <w:top w:val="nil"/>
              <w:left w:val="nil"/>
              <w:bottom w:val="nil"/>
              <w:right w:val="nil"/>
            </w:tcBorders>
            <w:shd w:val="clear" w:color="auto" w:fill="auto"/>
            <w:noWrap/>
            <w:vAlign w:val="bottom"/>
            <w:hideMark/>
          </w:tcPr>
          <w:p w:rsidR="00EA0BE0" w:rsidRPr="00433C22" w:rsidRDefault="00EA0BE0" w:rsidP="0095583A">
            <w:pPr>
              <w:rPr>
                <w:sz w:val="18"/>
                <w:szCs w:val="18"/>
              </w:rPr>
            </w:pPr>
          </w:p>
        </w:tc>
        <w:tc>
          <w:tcPr>
            <w:tcW w:w="1506" w:type="dxa"/>
            <w:gridSpan w:val="3"/>
            <w:tcBorders>
              <w:top w:val="nil"/>
              <w:left w:val="nil"/>
              <w:bottom w:val="nil"/>
              <w:right w:val="nil"/>
            </w:tcBorders>
            <w:shd w:val="clear" w:color="auto" w:fill="auto"/>
            <w:noWrap/>
            <w:vAlign w:val="bottom"/>
            <w:hideMark/>
          </w:tcPr>
          <w:p w:rsidR="00EA0BE0" w:rsidRPr="00433C22" w:rsidRDefault="00EA0BE0" w:rsidP="0095583A">
            <w:pPr>
              <w:rPr>
                <w:sz w:val="18"/>
                <w:szCs w:val="18"/>
              </w:rPr>
            </w:pPr>
          </w:p>
        </w:tc>
        <w:tc>
          <w:tcPr>
            <w:tcW w:w="160" w:type="dxa"/>
            <w:tcBorders>
              <w:top w:val="nil"/>
              <w:left w:val="nil"/>
              <w:bottom w:val="nil"/>
              <w:right w:val="nil"/>
            </w:tcBorders>
            <w:shd w:val="clear" w:color="auto" w:fill="auto"/>
            <w:noWrap/>
            <w:vAlign w:val="bottom"/>
            <w:hideMark/>
          </w:tcPr>
          <w:p w:rsidR="00EA0BE0" w:rsidRPr="00433C22" w:rsidRDefault="00EA0BE0" w:rsidP="0095583A">
            <w:pPr>
              <w:rPr>
                <w:sz w:val="18"/>
                <w:szCs w:val="18"/>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1</w:t>
            </w:r>
          </w:p>
        </w:tc>
        <w:tc>
          <w:tcPr>
            <w:tcW w:w="3915"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A</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50 000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2</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Zwykłe – przesyłki listowe nierejestrowane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3</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Zwykłe priorytetowe – przesyłki listowe nierejestrowane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4</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Zwykłe priorytetowe – przesyłki listowe nierejestrowane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5</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40 000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6</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Polecone – przesyłki listowe rejestrowane, nie będące przesyłkami najszybszej kategorii w obrocie krajowym</w:t>
            </w:r>
            <w:r w:rsidRPr="00A7352A">
              <w:rPr>
                <w:sz w:val="20"/>
                <w:szCs w:val="20"/>
              </w:rPr>
              <w:b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1000g  do 2000g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7</w:t>
            </w:r>
          </w:p>
        </w:tc>
        <w:tc>
          <w:tcPr>
            <w:tcW w:w="3915"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Polecone priorytetowe – przesyłki listowe rejestrowane najszybszej kategorii w obrocie krajowym</w:t>
            </w:r>
            <w:r w:rsidRPr="00A7352A">
              <w:rPr>
                <w:sz w:val="20"/>
                <w:szCs w:val="20"/>
              </w:rPr>
              <w:b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227902" w:rsidP="0095583A">
            <w:pPr>
              <w:ind w:firstLineChars="100" w:firstLine="200"/>
              <w:jc w:val="right"/>
              <w:rPr>
                <w:sz w:val="20"/>
                <w:szCs w:val="20"/>
              </w:rPr>
            </w:pPr>
            <w:r>
              <w:rPr>
                <w:sz w:val="20"/>
                <w:szCs w:val="20"/>
              </w:rPr>
              <w:t>d</w:t>
            </w:r>
            <w:r w:rsidR="00EA0BE0" w:rsidRPr="00A7352A">
              <w:rPr>
                <w:sz w:val="20"/>
                <w:szCs w:val="20"/>
              </w:rPr>
              <w:t>o</w:t>
            </w:r>
            <w:r>
              <w:rPr>
                <w:sz w:val="20"/>
                <w:szCs w:val="20"/>
              </w:rPr>
              <w:t xml:space="preserve"> </w:t>
            </w:r>
            <w:r w:rsidR="00EA0BE0" w:rsidRPr="00A7352A">
              <w:rPr>
                <w:sz w:val="20"/>
                <w:szCs w:val="20"/>
              </w:rPr>
              <w:t>350g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350g  do 1000g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 g  do 2000 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8</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Polecone priorytetowe – przesyłki listowe rejestrowane najszybszej kategorii w obrocie krajowym</w:t>
            </w:r>
            <w:r w:rsidRPr="00A7352A">
              <w:rPr>
                <w:sz w:val="20"/>
                <w:szCs w:val="20"/>
              </w:rPr>
              <w:br/>
              <w:t>Gabaryt B</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350g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400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350 g  do 1000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1000 g  do 2000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10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9</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227902" w:rsidP="00227902">
            <w:pPr>
              <w:rPr>
                <w:sz w:val="20"/>
                <w:szCs w:val="20"/>
              </w:rPr>
            </w:pPr>
            <w:r w:rsidRPr="00227902">
              <w:rPr>
                <w:sz w:val="20"/>
                <w:szCs w:val="20"/>
              </w:rPr>
              <w:t>Zwrotne potwierdzenie odbioru (ZPO) w obrocie krajowym przesyłek z</w:t>
            </w:r>
            <w:r>
              <w:rPr>
                <w:sz w:val="20"/>
                <w:szCs w:val="20"/>
              </w:rPr>
              <w:t> </w:t>
            </w:r>
            <w:r w:rsidRPr="00227902">
              <w:rPr>
                <w:sz w:val="20"/>
                <w:szCs w:val="20"/>
              </w:rPr>
              <w:t>pozycji 5-8</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30 000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lastRenderedPageBreak/>
              <w:t>10</w:t>
            </w:r>
          </w:p>
        </w:tc>
        <w:tc>
          <w:tcPr>
            <w:tcW w:w="391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95583A">
            <w:pPr>
              <w:rPr>
                <w:color w:val="000000"/>
                <w:sz w:val="20"/>
                <w:szCs w:val="20"/>
              </w:rPr>
            </w:pPr>
            <w:r w:rsidRPr="00A7352A">
              <w:rPr>
                <w:color w:val="000000"/>
                <w:sz w:val="20"/>
                <w:szCs w:val="20"/>
              </w:rPr>
              <w:t xml:space="preserve">Polecone priorytetowe – przesyłki listowe rejestrowane </w:t>
            </w:r>
            <w:r w:rsidRPr="00A7352A">
              <w:rPr>
                <w:color w:val="000000"/>
                <w:sz w:val="20"/>
                <w:szCs w:val="20"/>
              </w:rPr>
              <w:br w:type="page"/>
              <w:t xml:space="preserve">najszybszej kategorii </w:t>
            </w:r>
            <w:r w:rsidRPr="00A7352A">
              <w:rPr>
                <w:color w:val="000000"/>
                <w:sz w:val="20"/>
                <w:szCs w:val="20"/>
              </w:rPr>
              <w:br w:type="page"/>
              <w:t xml:space="preserve">do krajów europejskich </w:t>
            </w:r>
            <w:r w:rsidRPr="00A7352A">
              <w:rPr>
                <w:color w:val="000000"/>
                <w:sz w:val="20"/>
                <w:szCs w:val="20"/>
              </w:rPr>
              <w:br w:type="page"/>
              <w:t>(Strefa A - Europa łącznie z Cyprem, całą Rosją i Izraelem)</w:t>
            </w: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do 50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5</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3915" w:type="dxa"/>
            <w:vMerge/>
            <w:tcBorders>
              <w:top w:val="single" w:sz="4" w:space="0" w:color="auto"/>
              <w:left w:val="single" w:sz="4" w:space="0" w:color="auto"/>
              <w:bottom w:val="nil"/>
              <w:right w:val="single" w:sz="4" w:space="0" w:color="auto"/>
            </w:tcBorders>
            <w:vAlign w:val="center"/>
            <w:hideMark/>
          </w:tcPr>
          <w:p w:rsidR="00EA0BE0" w:rsidRPr="00A7352A" w:rsidRDefault="00EA0BE0" w:rsidP="0095583A">
            <w:pPr>
              <w:rPr>
                <w:color w:val="000000"/>
                <w:sz w:val="20"/>
                <w:szCs w:val="20"/>
              </w:rPr>
            </w:pPr>
          </w:p>
        </w:tc>
        <w:tc>
          <w:tcPr>
            <w:tcW w:w="2493" w:type="dxa"/>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ponad 50 g  do 100 g</w:t>
            </w:r>
          </w:p>
        </w:tc>
        <w:tc>
          <w:tcPr>
            <w:tcW w:w="1237"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5</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nil"/>
              <w:right w:val="single" w:sz="4" w:space="0" w:color="auto"/>
            </w:tcBorders>
            <w:vAlign w:val="center"/>
            <w:hideMark/>
          </w:tcPr>
          <w:p w:rsidR="00EA0BE0" w:rsidRPr="00A7352A" w:rsidRDefault="00EA0BE0" w:rsidP="0095583A">
            <w:pPr>
              <w:rPr>
                <w:color w:val="000000"/>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ponad 100 g  do 350 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000000"/>
                <w:sz w:val="20"/>
                <w:szCs w:val="20"/>
              </w:rPr>
            </w:pPr>
            <w:r w:rsidRPr="00A7352A">
              <w:rPr>
                <w:color w:val="000000"/>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11</w:t>
            </w:r>
          </w:p>
        </w:tc>
        <w:tc>
          <w:tcPr>
            <w:tcW w:w="6408" w:type="dxa"/>
            <w:gridSpan w:val="2"/>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 xml:space="preserve">Usługa – odbioru przesyłek z siedziby Zamawiającego </w:t>
            </w:r>
            <w:r w:rsidRPr="00A7352A">
              <w:rPr>
                <w:sz w:val="20"/>
                <w:szCs w:val="20"/>
              </w:rPr>
              <w:br/>
            </w:r>
            <w:r w:rsidRPr="00A7352A">
              <w:rPr>
                <w:i/>
                <w:iCs/>
                <w:sz w:val="18"/>
                <w:szCs w:val="18"/>
              </w:rPr>
              <w:t>(cena za usługi realizowane w ciągu miesiąca)</w:t>
            </w:r>
          </w:p>
        </w:tc>
        <w:tc>
          <w:tcPr>
            <w:tcW w:w="123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sidRPr="00A7352A">
              <w:rPr>
                <w:sz w:val="20"/>
                <w:szCs w:val="20"/>
              </w:rPr>
              <w:t>24</w:t>
            </w:r>
            <w:r>
              <w:rPr>
                <w:sz w:val="20"/>
                <w:szCs w:val="20"/>
              </w:rPr>
              <w:t xml:space="preserve"> miesiące</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12</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F85E15">
            <w:pPr>
              <w:jc w:val="center"/>
              <w:rPr>
                <w:sz w:val="20"/>
                <w:szCs w:val="20"/>
              </w:rPr>
            </w:pPr>
            <w:r w:rsidRPr="00A7352A">
              <w:rPr>
                <w:sz w:val="20"/>
                <w:szCs w:val="20"/>
              </w:rPr>
              <w:t>Paczki pocztowe</w:t>
            </w:r>
            <w:r w:rsidR="00F85E15">
              <w:rPr>
                <w:sz w:val="20"/>
                <w:szCs w:val="20"/>
              </w:rPr>
              <w:t xml:space="preserve"> w obrocie krajowym</w:t>
            </w:r>
            <w:r w:rsidRPr="00A7352A">
              <w:rPr>
                <w:sz w:val="20"/>
                <w:szCs w:val="20"/>
              </w:rPr>
              <w:t xml:space="preserve">  -</w:t>
            </w:r>
            <w:r w:rsidR="00F85E15">
              <w:rPr>
                <w:sz w:val="20"/>
                <w:szCs w:val="20"/>
              </w:rPr>
              <w:t xml:space="preserve"> </w:t>
            </w:r>
            <w:r w:rsidRPr="00A7352A">
              <w:rPr>
                <w:sz w:val="20"/>
                <w:szCs w:val="20"/>
              </w:rPr>
              <w:t>EKONOMICZNE</w:t>
            </w:r>
            <w:r w:rsidR="00F85E15">
              <w:rPr>
                <w:sz w:val="20"/>
                <w:szCs w:val="20"/>
              </w:rPr>
              <w:t xml:space="preserve"> </w:t>
            </w:r>
            <w:r w:rsidRPr="00A7352A">
              <w:rPr>
                <w:sz w:val="20"/>
                <w:szCs w:val="20"/>
              </w:rPr>
              <w:t>Gabaryt 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13</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F85E15">
            <w:pPr>
              <w:jc w:val="center"/>
              <w:rPr>
                <w:sz w:val="20"/>
                <w:szCs w:val="20"/>
              </w:rPr>
            </w:pPr>
            <w:r w:rsidRPr="00A7352A">
              <w:rPr>
                <w:sz w:val="20"/>
                <w:szCs w:val="20"/>
              </w:rPr>
              <w:t xml:space="preserve">Paczki pocztowe </w:t>
            </w:r>
            <w:r w:rsidR="00F85E15">
              <w:rPr>
                <w:sz w:val="20"/>
                <w:szCs w:val="20"/>
              </w:rPr>
              <w:t>w obrocie krajowym</w:t>
            </w:r>
            <w:r w:rsidRPr="00A7352A">
              <w:rPr>
                <w:sz w:val="20"/>
                <w:szCs w:val="20"/>
              </w:rPr>
              <w:t xml:space="preserve"> </w:t>
            </w:r>
            <w:r w:rsidR="00F85E15">
              <w:rPr>
                <w:sz w:val="20"/>
                <w:szCs w:val="20"/>
              </w:rPr>
              <w:t>–</w:t>
            </w:r>
            <w:r w:rsidRPr="00A7352A">
              <w:rPr>
                <w:sz w:val="20"/>
                <w:szCs w:val="20"/>
              </w:rPr>
              <w:t xml:space="preserve"> EKONOMICZNE</w:t>
            </w:r>
            <w:r w:rsidR="00F85E15">
              <w:rPr>
                <w:sz w:val="20"/>
                <w:szCs w:val="20"/>
              </w:rPr>
              <w:t xml:space="preserve"> </w:t>
            </w:r>
            <w:r w:rsidRPr="00A7352A">
              <w:rPr>
                <w:sz w:val="20"/>
                <w:szCs w:val="20"/>
              </w:rP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14</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F85E15">
            <w:pPr>
              <w:jc w:val="center"/>
              <w:rPr>
                <w:sz w:val="20"/>
                <w:szCs w:val="20"/>
              </w:rPr>
            </w:pPr>
            <w:r w:rsidRPr="00A7352A">
              <w:rPr>
                <w:sz w:val="20"/>
                <w:szCs w:val="20"/>
              </w:rPr>
              <w:t>Paczki pocztowe</w:t>
            </w:r>
            <w:r w:rsidR="00F85E15">
              <w:rPr>
                <w:sz w:val="20"/>
                <w:szCs w:val="20"/>
              </w:rPr>
              <w:t xml:space="preserve"> w obrocie krajowym</w:t>
            </w:r>
            <w:r w:rsidRPr="00A7352A">
              <w:rPr>
                <w:sz w:val="20"/>
                <w:szCs w:val="20"/>
              </w:rPr>
              <w:t xml:space="preserve">  -PRIORYTETOWE</w:t>
            </w:r>
            <w:r w:rsidR="00F85E15">
              <w:rPr>
                <w:sz w:val="20"/>
                <w:szCs w:val="20"/>
              </w:rPr>
              <w:t xml:space="preserve"> </w:t>
            </w:r>
            <w:r w:rsidR="0095583A">
              <w:rPr>
                <w:sz w:val="20"/>
                <w:szCs w:val="20"/>
              </w:rPr>
              <w:t xml:space="preserve">Gabaryt </w:t>
            </w:r>
            <w:r w:rsidRPr="00A7352A">
              <w:rPr>
                <w:sz w:val="20"/>
                <w:szCs w:val="20"/>
              </w:rPr>
              <w:t>A</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15</w:t>
            </w:r>
          </w:p>
        </w:tc>
        <w:tc>
          <w:tcPr>
            <w:tcW w:w="3915" w:type="dxa"/>
            <w:vMerge w:val="restart"/>
            <w:tcBorders>
              <w:top w:val="nil"/>
              <w:left w:val="single" w:sz="4" w:space="0" w:color="auto"/>
              <w:bottom w:val="single" w:sz="4" w:space="0" w:color="auto"/>
              <w:right w:val="single" w:sz="4" w:space="0" w:color="auto"/>
            </w:tcBorders>
            <w:shd w:val="clear" w:color="000000" w:fill="CCFFFF"/>
            <w:vAlign w:val="center"/>
            <w:hideMark/>
          </w:tcPr>
          <w:p w:rsidR="00EA0BE0" w:rsidRPr="00A7352A" w:rsidRDefault="00EA0BE0" w:rsidP="00F85E15">
            <w:pPr>
              <w:jc w:val="center"/>
              <w:rPr>
                <w:sz w:val="20"/>
                <w:szCs w:val="20"/>
              </w:rPr>
            </w:pPr>
            <w:r w:rsidRPr="00A7352A">
              <w:rPr>
                <w:sz w:val="20"/>
                <w:szCs w:val="20"/>
              </w:rPr>
              <w:t>Paczki pocztowe</w:t>
            </w:r>
            <w:r w:rsidR="00F85E15">
              <w:rPr>
                <w:sz w:val="20"/>
                <w:szCs w:val="20"/>
              </w:rPr>
              <w:t xml:space="preserve"> w obrocie krajowym</w:t>
            </w:r>
            <w:r w:rsidRPr="00A7352A">
              <w:rPr>
                <w:sz w:val="20"/>
                <w:szCs w:val="20"/>
              </w:rPr>
              <w:t xml:space="preserve">  - PRIORYTETOWE</w:t>
            </w:r>
            <w:r w:rsidR="00F85E15">
              <w:rPr>
                <w:sz w:val="20"/>
                <w:szCs w:val="20"/>
              </w:rPr>
              <w:t xml:space="preserve"> </w:t>
            </w:r>
            <w:r w:rsidRPr="00A7352A">
              <w:rPr>
                <w:sz w:val="20"/>
                <w:szCs w:val="20"/>
              </w:rPr>
              <w:t>Gabaryt B</w:t>
            </w: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1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1 kg  do 2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2 kg  do 5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22"/>
        </w:trPr>
        <w:tc>
          <w:tcPr>
            <w:tcW w:w="709" w:type="dxa"/>
            <w:vMerge/>
            <w:tcBorders>
              <w:top w:val="nil"/>
              <w:left w:val="single" w:sz="4" w:space="0" w:color="auto"/>
              <w:bottom w:val="single" w:sz="4" w:space="0" w:color="000000"/>
              <w:right w:val="single" w:sz="4" w:space="0" w:color="auto"/>
            </w:tcBorders>
            <w:vAlign w:val="center"/>
            <w:hideMark/>
          </w:tcPr>
          <w:p w:rsidR="00EA0BE0" w:rsidRPr="00A7352A" w:rsidRDefault="00EA0BE0" w:rsidP="0095583A">
            <w:pPr>
              <w:rPr>
                <w:sz w:val="20"/>
                <w:szCs w:val="20"/>
              </w:rPr>
            </w:pPr>
          </w:p>
        </w:tc>
        <w:tc>
          <w:tcPr>
            <w:tcW w:w="3915" w:type="dxa"/>
            <w:vMerge/>
            <w:tcBorders>
              <w:top w:val="nil"/>
              <w:left w:val="single" w:sz="4" w:space="0" w:color="auto"/>
              <w:bottom w:val="single" w:sz="4" w:space="0" w:color="auto"/>
              <w:right w:val="single" w:sz="4" w:space="0" w:color="auto"/>
            </w:tcBorders>
            <w:vAlign w:val="center"/>
            <w:hideMark/>
          </w:tcPr>
          <w:p w:rsidR="00EA0BE0" w:rsidRPr="00A7352A" w:rsidRDefault="00EA0BE0" w:rsidP="0095583A">
            <w:pPr>
              <w:rPr>
                <w:sz w:val="20"/>
                <w:szCs w:val="20"/>
              </w:rPr>
            </w:pPr>
          </w:p>
        </w:tc>
        <w:tc>
          <w:tcPr>
            <w:tcW w:w="2493" w:type="dxa"/>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ponad 5 kg  do 10 kg</w:t>
            </w:r>
          </w:p>
        </w:tc>
        <w:tc>
          <w:tcPr>
            <w:tcW w:w="1237" w:type="dxa"/>
            <w:gridSpan w:val="2"/>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274" w:type="dxa"/>
            <w:gridSpan w:val="4"/>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color w:val="FF0000"/>
                <w:sz w:val="20"/>
                <w:szCs w:val="20"/>
              </w:rPr>
            </w:pPr>
            <w:r w:rsidRPr="00A7352A">
              <w:rPr>
                <w:color w:val="FF0000"/>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397"/>
        </w:trPr>
        <w:tc>
          <w:tcPr>
            <w:tcW w:w="10903" w:type="dxa"/>
            <w:gridSpan w:val="12"/>
            <w:tcBorders>
              <w:top w:val="single" w:sz="4" w:space="0" w:color="auto"/>
              <w:left w:val="nil"/>
              <w:bottom w:val="single" w:sz="4" w:space="0" w:color="auto"/>
              <w:right w:val="nil"/>
            </w:tcBorders>
            <w:shd w:val="clear" w:color="auto" w:fill="auto"/>
            <w:noWrap/>
            <w:vAlign w:val="center"/>
            <w:hideMark/>
          </w:tcPr>
          <w:p w:rsidR="00EA0BE0" w:rsidRPr="00A7352A" w:rsidRDefault="00EA0BE0" w:rsidP="0095583A">
            <w:pPr>
              <w:rPr>
                <w:sz w:val="20"/>
                <w:szCs w:val="20"/>
              </w:rPr>
            </w:pPr>
            <w:r w:rsidRPr="00A7352A">
              <w:rPr>
                <w:sz w:val="20"/>
                <w:szCs w:val="20"/>
              </w:rPr>
              <w:t>Usługi kurierskie w obrocie krajowym:</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428"/>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16</w:t>
            </w:r>
          </w:p>
        </w:tc>
        <w:tc>
          <w:tcPr>
            <w:tcW w:w="3915" w:type="dxa"/>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do 1kg</w:t>
            </w:r>
          </w:p>
        </w:tc>
        <w:tc>
          <w:tcPr>
            <w:tcW w:w="1249"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61"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420"/>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17</w:t>
            </w:r>
          </w:p>
        </w:tc>
        <w:tc>
          <w:tcPr>
            <w:tcW w:w="391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powyżej 1 kg  do 5 kg</w:t>
            </w:r>
          </w:p>
        </w:tc>
        <w:tc>
          <w:tcPr>
            <w:tcW w:w="1249"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413"/>
        </w:trPr>
        <w:tc>
          <w:tcPr>
            <w:tcW w:w="709" w:type="dxa"/>
            <w:tcBorders>
              <w:top w:val="nil"/>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18</w:t>
            </w:r>
          </w:p>
        </w:tc>
        <w:tc>
          <w:tcPr>
            <w:tcW w:w="3915" w:type="dxa"/>
            <w:tcBorders>
              <w:top w:val="single" w:sz="4" w:space="0" w:color="auto"/>
              <w:left w:val="nil"/>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powyżej 5 kg  do 15 kg</w:t>
            </w:r>
          </w:p>
        </w:tc>
        <w:tc>
          <w:tcPr>
            <w:tcW w:w="1249"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61" w:type="dxa"/>
            <w:gridSpan w:val="3"/>
            <w:tcBorders>
              <w:top w:val="nil"/>
              <w:left w:val="nil"/>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418"/>
        </w:trPr>
        <w:tc>
          <w:tcPr>
            <w:tcW w:w="70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jc w:val="center"/>
              <w:rPr>
                <w:sz w:val="20"/>
                <w:szCs w:val="20"/>
              </w:rPr>
            </w:pPr>
            <w:r>
              <w:rPr>
                <w:sz w:val="20"/>
                <w:szCs w:val="20"/>
              </w:rPr>
              <w:t>19</w:t>
            </w:r>
          </w:p>
        </w:tc>
        <w:tc>
          <w:tcPr>
            <w:tcW w:w="391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EA0BE0" w:rsidRPr="00A7352A" w:rsidRDefault="00EA0BE0" w:rsidP="0095583A">
            <w:pPr>
              <w:rPr>
                <w:sz w:val="20"/>
                <w:szCs w:val="20"/>
              </w:rPr>
            </w:pPr>
            <w:r w:rsidRPr="00A7352A">
              <w:rPr>
                <w:sz w:val="20"/>
                <w:szCs w:val="20"/>
              </w:rPr>
              <w:t xml:space="preserve">Doręczenie przesyłki kurierskiej </w:t>
            </w:r>
          </w:p>
        </w:tc>
        <w:tc>
          <w:tcPr>
            <w:tcW w:w="2493"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powyżej 15 kg  do 30 kg</w:t>
            </w:r>
          </w:p>
        </w:tc>
        <w:tc>
          <w:tcPr>
            <w:tcW w:w="1249"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E0" w:rsidRPr="00A7352A" w:rsidRDefault="00EA0BE0" w:rsidP="0095583A">
            <w:pPr>
              <w:ind w:firstLineChars="100" w:firstLine="200"/>
              <w:jc w:val="right"/>
              <w:rPr>
                <w:color w:val="0000FF"/>
                <w:sz w:val="20"/>
                <w:szCs w:val="20"/>
              </w:rPr>
            </w:pPr>
            <w:r w:rsidRPr="00A7352A">
              <w:rPr>
                <w:color w:val="0000FF"/>
                <w:sz w:val="20"/>
                <w:szCs w:val="20"/>
              </w:rPr>
              <w:t>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0"/>
              <w:jc w:val="right"/>
              <w:rPr>
                <w:sz w:val="20"/>
                <w:szCs w:val="20"/>
              </w:rPr>
            </w:pPr>
            <w:r w:rsidRPr="00A7352A">
              <w:rPr>
                <w:sz w:val="20"/>
                <w:szCs w:val="20"/>
              </w:rPr>
              <w:t> </w:t>
            </w:r>
          </w:p>
        </w:tc>
        <w:tc>
          <w:tcPr>
            <w:tcW w:w="160" w:type="dxa"/>
            <w:tcBorders>
              <w:left w:val="single" w:sz="4" w:space="0" w:color="auto"/>
            </w:tcBorders>
            <w:vAlign w:val="center"/>
            <w:hideMark/>
          </w:tcPr>
          <w:p w:rsidR="00EA0BE0" w:rsidRPr="00A7352A" w:rsidRDefault="00EA0BE0" w:rsidP="0095583A">
            <w:pPr>
              <w:rPr>
                <w:sz w:val="20"/>
                <w:szCs w:val="20"/>
              </w:rPr>
            </w:pPr>
          </w:p>
        </w:tc>
      </w:tr>
      <w:tr w:rsidR="00EA0BE0" w:rsidRPr="00A7352A" w:rsidTr="0095583A">
        <w:trPr>
          <w:gridBefore w:val="1"/>
          <w:wBefore w:w="282" w:type="dxa"/>
          <w:trHeight w:val="600"/>
        </w:trPr>
        <w:tc>
          <w:tcPr>
            <w:tcW w:w="8366" w:type="dxa"/>
            <w:gridSpan w:val="6"/>
            <w:tcBorders>
              <w:top w:val="single" w:sz="4" w:space="0" w:color="auto"/>
              <w:left w:val="nil"/>
              <w:bottom w:val="nil"/>
              <w:right w:val="nil"/>
            </w:tcBorders>
            <w:shd w:val="clear" w:color="auto" w:fill="auto"/>
            <w:noWrap/>
            <w:vAlign w:val="center"/>
            <w:hideMark/>
          </w:tcPr>
          <w:p w:rsidR="00EA0BE0" w:rsidRPr="00DC6758" w:rsidRDefault="00EA0BE0" w:rsidP="00EA0BE0">
            <w:pPr>
              <w:rPr>
                <w:sz w:val="16"/>
                <w:szCs w:val="16"/>
              </w:rPr>
            </w:pPr>
            <w:r w:rsidRPr="00DC6758">
              <w:rPr>
                <w:color w:val="FF0000"/>
                <w:sz w:val="16"/>
                <w:szCs w:val="16"/>
              </w:rPr>
              <w:t>*</w:t>
            </w:r>
            <w:r w:rsidRPr="00DC6758">
              <w:rPr>
                <w:sz w:val="16"/>
                <w:szCs w:val="16"/>
              </w:rPr>
              <w:t xml:space="preserve">- Zamawiający zastrzega, że podane ilości mają charakter szacunkowy oraz prawo do zmiany ilości </w:t>
            </w:r>
            <w:r>
              <w:rPr>
                <w:sz w:val="16"/>
                <w:szCs w:val="16"/>
              </w:rPr>
              <w:br/>
            </w:r>
            <w:r w:rsidRPr="00DC6758">
              <w:rPr>
                <w:sz w:val="16"/>
                <w:szCs w:val="16"/>
              </w:rPr>
              <w:t>przesyłek danego rodzaju w czasie trwania umowy.</w:t>
            </w:r>
          </w:p>
          <w:p w:rsidR="00EA0BE0" w:rsidRPr="00DC6758" w:rsidRDefault="00EA0BE0" w:rsidP="0095583A">
            <w:pPr>
              <w:jc w:val="both"/>
              <w:rPr>
                <w:sz w:val="16"/>
                <w:szCs w:val="16"/>
              </w:rPr>
            </w:pPr>
            <w:r w:rsidRPr="00DC6758">
              <w:rPr>
                <w:color w:val="FF0000"/>
                <w:sz w:val="16"/>
                <w:szCs w:val="16"/>
              </w:rPr>
              <w:t>**</w:t>
            </w:r>
            <w:r w:rsidRPr="00DC6758">
              <w:rPr>
                <w:sz w:val="16"/>
                <w:szCs w:val="16"/>
              </w:rPr>
              <w:t xml:space="preserve"> -</w:t>
            </w:r>
            <w:r>
              <w:rPr>
                <w:sz w:val="16"/>
                <w:szCs w:val="16"/>
              </w:rPr>
              <w:t xml:space="preserve"> </w:t>
            </w:r>
            <w:r w:rsidRPr="00DC6758">
              <w:rPr>
                <w:sz w:val="16"/>
                <w:szCs w:val="16"/>
              </w:rPr>
              <w:t>Ceny jednostkowe stanowić będą podstawę rozliczeń z Wykonawcą po podpisaniu umowy.</w:t>
            </w:r>
          </w:p>
        </w:tc>
        <w:tc>
          <w:tcPr>
            <w:tcW w:w="1276" w:type="dxa"/>
            <w:gridSpan w:val="3"/>
            <w:tcBorders>
              <w:top w:val="single" w:sz="4" w:space="0" w:color="auto"/>
              <w:left w:val="nil"/>
              <w:bottom w:val="nil"/>
              <w:right w:val="nil"/>
            </w:tcBorders>
            <w:shd w:val="clear" w:color="auto" w:fill="auto"/>
            <w:noWrap/>
            <w:vAlign w:val="center"/>
            <w:hideMark/>
          </w:tcPr>
          <w:p w:rsidR="00EA0BE0" w:rsidRPr="0056076F" w:rsidRDefault="00EA0BE0" w:rsidP="0095583A">
            <w:pPr>
              <w:jc w:val="center"/>
              <w:rPr>
                <w:b/>
                <w:bCs/>
              </w:rPr>
            </w:pPr>
            <w:r w:rsidRPr="0056076F">
              <w:rPr>
                <w:b/>
                <w:bCs/>
              </w:rPr>
              <w:t xml:space="preserve">Razem: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A0BE0" w:rsidRPr="00A7352A" w:rsidRDefault="00EA0BE0" w:rsidP="0095583A">
            <w:pPr>
              <w:ind w:firstLineChars="100" w:firstLine="201"/>
              <w:jc w:val="right"/>
              <w:rPr>
                <w:b/>
                <w:bCs/>
                <w:sz w:val="20"/>
                <w:szCs w:val="20"/>
              </w:rPr>
            </w:pPr>
            <w:r w:rsidRPr="00A7352A">
              <w:rPr>
                <w:b/>
                <w:bCs/>
                <w:sz w:val="20"/>
                <w:szCs w:val="20"/>
              </w:rPr>
              <w:t> </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1227"/>
        </w:trPr>
        <w:tc>
          <w:tcPr>
            <w:tcW w:w="709" w:type="dxa"/>
            <w:tcBorders>
              <w:top w:val="nil"/>
              <w:left w:val="nil"/>
              <w:bottom w:val="nil"/>
              <w:right w:val="nil"/>
            </w:tcBorders>
            <w:shd w:val="clear" w:color="auto" w:fill="auto"/>
            <w:noWrap/>
            <w:vAlign w:val="bottom"/>
            <w:hideMark/>
          </w:tcPr>
          <w:p w:rsidR="00EA0BE0" w:rsidRPr="00A7352A" w:rsidRDefault="00EA0BE0" w:rsidP="0095583A">
            <w:pPr>
              <w:rPr>
                <w:sz w:val="20"/>
                <w:szCs w:val="20"/>
              </w:rPr>
            </w:pPr>
          </w:p>
        </w:tc>
        <w:tc>
          <w:tcPr>
            <w:tcW w:w="3915" w:type="dxa"/>
            <w:tcBorders>
              <w:top w:val="nil"/>
              <w:left w:val="nil"/>
              <w:bottom w:val="nil"/>
              <w:right w:val="nil"/>
            </w:tcBorders>
            <w:shd w:val="clear" w:color="auto" w:fill="auto"/>
            <w:vAlign w:val="bottom"/>
            <w:hideMark/>
          </w:tcPr>
          <w:p w:rsidR="00EA0BE0" w:rsidRPr="00A7352A" w:rsidRDefault="00EA0BE0" w:rsidP="0095583A">
            <w:pPr>
              <w:jc w:val="center"/>
              <w:rPr>
                <w:color w:val="000000"/>
                <w:sz w:val="16"/>
                <w:szCs w:val="16"/>
              </w:rPr>
            </w:pPr>
            <w:r w:rsidRPr="00A7352A">
              <w:rPr>
                <w:color w:val="000000"/>
                <w:sz w:val="16"/>
                <w:szCs w:val="16"/>
              </w:rPr>
              <w:t>............................................</w:t>
            </w:r>
          </w:p>
        </w:tc>
        <w:tc>
          <w:tcPr>
            <w:tcW w:w="2493" w:type="dxa"/>
            <w:tcBorders>
              <w:top w:val="nil"/>
              <w:left w:val="nil"/>
              <w:bottom w:val="nil"/>
              <w:right w:val="nil"/>
            </w:tcBorders>
            <w:shd w:val="clear" w:color="auto" w:fill="auto"/>
            <w:noWrap/>
            <w:vAlign w:val="bottom"/>
            <w:hideMark/>
          </w:tcPr>
          <w:p w:rsidR="00EA0BE0" w:rsidRPr="00A7352A" w:rsidRDefault="00EA0BE0" w:rsidP="0095583A">
            <w:pPr>
              <w:rPr>
                <w:sz w:val="16"/>
                <w:szCs w:val="16"/>
              </w:rPr>
            </w:pPr>
          </w:p>
        </w:tc>
        <w:tc>
          <w:tcPr>
            <w:tcW w:w="3786" w:type="dxa"/>
            <w:gridSpan w:val="9"/>
            <w:tcBorders>
              <w:top w:val="nil"/>
              <w:left w:val="nil"/>
              <w:bottom w:val="nil"/>
              <w:right w:val="nil"/>
            </w:tcBorders>
            <w:shd w:val="clear" w:color="auto" w:fill="auto"/>
            <w:vAlign w:val="bottom"/>
            <w:hideMark/>
          </w:tcPr>
          <w:p w:rsidR="00EA0BE0" w:rsidRPr="00A7352A" w:rsidRDefault="00EA0BE0" w:rsidP="0095583A">
            <w:pPr>
              <w:jc w:val="center"/>
              <w:rPr>
                <w:color w:val="000000"/>
                <w:sz w:val="16"/>
                <w:szCs w:val="16"/>
              </w:rPr>
            </w:pPr>
            <w:r w:rsidRPr="00A7352A">
              <w:rPr>
                <w:color w:val="000000"/>
                <w:sz w:val="16"/>
                <w:szCs w:val="16"/>
              </w:rPr>
              <w:t>..................................................................................</w:t>
            </w:r>
          </w:p>
        </w:tc>
        <w:tc>
          <w:tcPr>
            <w:tcW w:w="160" w:type="dxa"/>
            <w:vAlign w:val="center"/>
            <w:hideMark/>
          </w:tcPr>
          <w:p w:rsidR="00EA0BE0" w:rsidRPr="00A7352A" w:rsidRDefault="00EA0BE0" w:rsidP="0095583A">
            <w:pPr>
              <w:rPr>
                <w:sz w:val="20"/>
                <w:szCs w:val="20"/>
              </w:rPr>
            </w:pPr>
          </w:p>
        </w:tc>
      </w:tr>
      <w:tr w:rsidR="00EA0BE0" w:rsidRPr="00A7352A" w:rsidTr="00EA0BE0">
        <w:trPr>
          <w:gridBefore w:val="1"/>
          <w:wBefore w:w="282" w:type="dxa"/>
          <w:trHeight w:val="546"/>
        </w:trPr>
        <w:tc>
          <w:tcPr>
            <w:tcW w:w="709" w:type="dxa"/>
            <w:tcBorders>
              <w:top w:val="nil"/>
              <w:left w:val="nil"/>
              <w:bottom w:val="nil"/>
              <w:right w:val="nil"/>
            </w:tcBorders>
            <w:shd w:val="clear" w:color="auto" w:fill="auto"/>
            <w:noWrap/>
            <w:vAlign w:val="bottom"/>
            <w:hideMark/>
          </w:tcPr>
          <w:p w:rsidR="00EA0BE0" w:rsidRPr="00A7352A" w:rsidRDefault="00EA0BE0" w:rsidP="0095583A">
            <w:pPr>
              <w:rPr>
                <w:sz w:val="20"/>
                <w:szCs w:val="20"/>
              </w:rPr>
            </w:pPr>
          </w:p>
        </w:tc>
        <w:tc>
          <w:tcPr>
            <w:tcW w:w="3915" w:type="dxa"/>
            <w:tcBorders>
              <w:top w:val="nil"/>
              <w:left w:val="nil"/>
              <w:bottom w:val="nil"/>
              <w:right w:val="nil"/>
            </w:tcBorders>
            <w:shd w:val="clear" w:color="auto" w:fill="auto"/>
            <w:hideMark/>
          </w:tcPr>
          <w:p w:rsidR="00EA0BE0" w:rsidRPr="00A7352A" w:rsidRDefault="00EA0BE0" w:rsidP="0095583A">
            <w:pPr>
              <w:jc w:val="center"/>
              <w:rPr>
                <w:i/>
                <w:iCs/>
                <w:color w:val="000000"/>
                <w:sz w:val="16"/>
                <w:szCs w:val="16"/>
              </w:rPr>
            </w:pPr>
            <w:r w:rsidRPr="00A7352A">
              <w:rPr>
                <w:i/>
                <w:iCs/>
                <w:color w:val="000000"/>
                <w:sz w:val="16"/>
                <w:szCs w:val="16"/>
              </w:rPr>
              <w:t>miejscowość i data</w:t>
            </w:r>
          </w:p>
        </w:tc>
        <w:tc>
          <w:tcPr>
            <w:tcW w:w="2493" w:type="dxa"/>
            <w:tcBorders>
              <w:top w:val="nil"/>
              <w:left w:val="nil"/>
              <w:bottom w:val="nil"/>
              <w:right w:val="nil"/>
            </w:tcBorders>
            <w:shd w:val="clear" w:color="auto" w:fill="auto"/>
            <w:noWrap/>
            <w:vAlign w:val="bottom"/>
            <w:hideMark/>
          </w:tcPr>
          <w:p w:rsidR="00EA0BE0" w:rsidRPr="00A7352A" w:rsidRDefault="00EA0BE0" w:rsidP="0095583A">
            <w:pPr>
              <w:rPr>
                <w:sz w:val="16"/>
                <w:szCs w:val="16"/>
              </w:rPr>
            </w:pPr>
          </w:p>
        </w:tc>
        <w:tc>
          <w:tcPr>
            <w:tcW w:w="3786" w:type="dxa"/>
            <w:gridSpan w:val="9"/>
            <w:tcBorders>
              <w:top w:val="nil"/>
              <w:left w:val="nil"/>
              <w:bottom w:val="nil"/>
              <w:right w:val="nil"/>
            </w:tcBorders>
            <w:shd w:val="clear" w:color="auto" w:fill="auto"/>
            <w:vAlign w:val="bottom"/>
            <w:hideMark/>
          </w:tcPr>
          <w:p w:rsidR="00EA0BE0" w:rsidRPr="00A7352A" w:rsidRDefault="00EA0BE0" w:rsidP="0095583A">
            <w:pPr>
              <w:jc w:val="center"/>
              <w:rPr>
                <w:i/>
                <w:iCs/>
                <w:color w:val="000000"/>
                <w:sz w:val="16"/>
                <w:szCs w:val="16"/>
              </w:rPr>
            </w:pPr>
            <w:r w:rsidRPr="00A7352A">
              <w:rPr>
                <w:i/>
                <w:iCs/>
                <w:color w:val="000000"/>
                <w:sz w:val="16"/>
                <w:szCs w:val="16"/>
              </w:rPr>
              <w:t>czytelny podpis lub podpis z pieczątką imienną</w:t>
            </w:r>
            <w:r w:rsidRPr="00A7352A">
              <w:rPr>
                <w:i/>
                <w:iCs/>
                <w:color w:val="000000"/>
                <w:sz w:val="16"/>
                <w:szCs w:val="16"/>
              </w:rPr>
              <w:br/>
              <w:t>osoby/osób upoważnionej/upoważnionych</w:t>
            </w:r>
            <w:r w:rsidRPr="00A7352A">
              <w:rPr>
                <w:i/>
                <w:iCs/>
                <w:color w:val="000000"/>
                <w:sz w:val="16"/>
                <w:szCs w:val="16"/>
              </w:rPr>
              <w:br/>
              <w:t>do reprezentowania Wykonawcy</w:t>
            </w:r>
          </w:p>
        </w:tc>
        <w:tc>
          <w:tcPr>
            <w:tcW w:w="160" w:type="dxa"/>
            <w:vAlign w:val="center"/>
            <w:hideMark/>
          </w:tcPr>
          <w:p w:rsidR="00EA0BE0" w:rsidRPr="00A7352A" w:rsidRDefault="00EA0BE0" w:rsidP="0095583A">
            <w:pPr>
              <w:rPr>
                <w:sz w:val="20"/>
                <w:szCs w:val="20"/>
              </w:rPr>
            </w:pPr>
          </w:p>
        </w:tc>
      </w:tr>
    </w:tbl>
    <w:p w:rsidR="00BC55EC" w:rsidRDefault="00BC55EC" w:rsidP="00EA0BE0">
      <w:pPr>
        <w:autoSpaceDE w:val="0"/>
        <w:autoSpaceDN w:val="0"/>
        <w:adjustRightInd w:val="0"/>
        <w:rPr>
          <w:i/>
          <w:sz w:val="16"/>
          <w:szCs w:val="16"/>
        </w:rPr>
      </w:pPr>
    </w:p>
    <w:sectPr w:rsidR="00BC55EC" w:rsidSect="00961125">
      <w:footerReference w:type="even" r:id="rId11"/>
      <w:footerReference w:type="first" r:id="rId12"/>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D9" w:rsidRDefault="00E60DD9" w:rsidP="007630C0">
      <w:r>
        <w:separator/>
      </w:r>
    </w:p>
  </w:endnote>
  <w:endnote w:type="continuationSeparator" w:id="0">
    <w:p w:rsidR="00E60DD9" w:rsidRDefault="00E60DD9"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3A" w:rsidRDefault="0095583A" w:rsidP="00987C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5583A" w:rsidRDefault="0095583A" w:rsidP="00987C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3A" w:rsidRPr="008C2300" w:rsidRDefault="0095583A">
    <w:pPr>
      <w:pStyle w:val="Stopka"/>
      <w:jc w:val="right"/>
    </w:pPr>
  </w:p>
  <w:p w:rsidR="0095583A" w:rsidRDefault="009558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D9" w:rsidRDefault="00E60DD9" w:rsidP="007630C0">
      <w:r>
        <w:separator/>
      </w:r>
    </w:p>
  </w:footnote>
  <w:footnote w:type="continuationSeparator" w:id="0">
    <w:p w:rsidR="00E60DD9" w:rsidRDefault="00E60DD9" w:rsidP="0076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B60"/>
    <w:multiLevelType w:val="multilevel"/>
    <w:tmpl w:val="3DDC9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F5AFB"/>
    <w:multiLevelType w:val="multilevel"/>
    <w:tmpl w:val="4DCAA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49B3"/>
    <w:multiLevelType w:val="hybridMultilevel"/>
    <w:tmpl w:val="24C4E0FC"/>
    <w:lvl w:ilvl="0" w:tplc="481239C2">
      <w:start w:val="1"/>
      <w:numFmt w:val="upperRoman"/>
      <w:lvlText w:val="%1."/>
      <w:lvlJc w:val="right"/>
      <w:pPr>
        <w:tabs>
          <w:tab w:val="num" w:pos="4150"/>
        </w:tabs>
        <w:ind w:left="4150" w:hanging="180"/>
      </w:pPr>
      <w:rPr>
        <w:rFonts w:hint="default"/>
      </w:rPr>
    </w:lvl>
    <w:lvl w:ilvl="1" w:tplc="D0306324">
      <w:start w:val="1"/>
      <w:numFmt w:val="decimal"/>
      <w:lvlText w:val="%2."/>
      <w:lvlJc w:val="left"/>
      <w:pPr>
        <w:tabs>
          <w:tab w:val="num" w:pos="502"/>
        </w:tabs>
        <w:ind w:left="502" w:hanging="360"/>
      </w:pPr>
      <w:rPr>
        <w:rFonts w:ascii="Times New Roman" w:eastAsia="Times New Roman" w:hAnsi="Times New Roman" w:cs="Times New Roman"/>
        <w:b w:val="0"/>
        <w:i w:val="0"/>
        <w:sz w:val="24"/>
        <w:szCs w:val="24"/>
      </w:rPr>
    </w:lvl>
    <w:lvl w:ilvl="2" w:tplc="2B9EA39E">
      <w:start w:val="1"/>
      <w:numFmt w:val="decimal"/>
      <w:lvlText w:val="%3)"/>
      <w:lvlJc w:val="left"/>
      <w:pPr>
        <w:tabs>
          <w:tab w:val="num" w:pos="786"/>
        </w:tabs>
        <w:ind w:left="786"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340"/>
        </w:tabs>
        <w:ind w:left="2340" w:hanging="360"/>
      </w:pPr>
      <w:rPr>
        <w:rFonts w:hint="default"/>
      </w:rPr>
    </w:lvl>
    <w:lvl w:ilvl="4" w:tplc="04150019">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nsid w:val="11B74E22"/>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C1E7D"/>
    <w:multiLevelType w:val="hybridMultilevel"/>
    <w:tmpl w:val="C2084316"/>
    <w:lvl w:ilvl="0" w:tplc="C7F6D74E">
      <w:start w:val="1"/>
      <w:numFmt w:val="bullet"/>
      <w:lvlText w:val=""/>
      <w:lvlJc w:val="left"/>
      <w:pPr>
        <w:ind w:left="1096" w:hanging="360"/>
      </w:pPr>
      <w:rPr>
        <w:rFonts w:ascii="Symbol" w:hAnsi="Symbol"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5">
    <w:nsid w:val="1EDD4946"/>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240A427B"/>
    <w:multiLevelType w:val="hybridMultilevel"/>
    <w:tmpl w:val="4C2E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560FD"/>
    <w:multiLevelType w:val="hybridMultilevel"/>
    <w:tmpl w:val="463AB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660DCD"/>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67D8A"/>
    <w:multiLevelType w:val="hybridMultilevel"/>
    <w:tmpl w:val="8B62C7AC"/>
    <w:lvl w:ilvl="0" w:tplc="C7F6D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2D8024A"/>
    <w:multiLevelType w:val="hybridMultilevel"/>
    <w:tmpl w:val="73C837BE"/>
    <w:lvl w:ilvl="0" w:tplc="DADE2C0C">
      <w:start w:val="1"/>
      <w:numFmt w:val="decimal"/>
      <w:lvlText w:val="%1."/>
      <w:lvlJc w:val="left"/>
      <w:pPr>
        <w:ind w:left="1713" w:hanging="360"/>
      </w:pPr>
      <w:rPr>
        <w:rFonts w:ascii="Times New Roman" w:eastAsia="Times New Roman" w:hAnsi="Times New Roman" w:cs="Times New Roman"/>
        <w:b w:val="0"/>
        <w:color w:val="auto"/>
      </w:rPr>
    </w:lvl>
    <w:lvl w:ilvl="1" w:tplc="937EE670">
      <w:start w:val="1"/>
      <w:numFmt w:val="decimal"/>
      <w:lvlText w:val="%2)"/>
      <w:lvlJc w:val="left"/>
      <w:pPr>
        <w:ind w:left="2433" w:hanging="360"/>
      </w:pPr>
      <w:rPr>
        <w:rFonts w:ascii="Times New Roman" w:eastAsia="Times New Roman" w:hAnsi="Times New Roman" w:cs="Times New Roman"/>
        <w:b w:val="0"/>
      </w:rPr>
    </w:lvl>
    <w:lvl w:ilvl="2" w:tplc="B2C22C30">
      <w:start w:val="1"/>
      <w:numFmt w:val="decimal"/>
      <w:lvlText w:val="%3)"/>
      <w:lvlJc w:val="right"/>
      <w:pPr>
        <w:ind w:left="3153" w:hanging="180"/>
      </w:pPr>
      <w:rPr>
        <w:rFonts w:ascii="Times New Roman" w:eastAsia="Times New Roman" w:hAnsi="Times New Roman" w:cs="Times New Roman"/>
        <w:b w:val="0"/>
      </w:rPr>
    </w:lvl>
    <w:lvl w:ilvl="3" w:tplc="8C74DF46">
      <w:start w:val="1"/>
      <w:numFmt w:val="lowerLetter"/>
      <w:lvlText w:val="%4)"/>
      <w:lvlJc w:val="left"/>
      <w:pPr>
        <w:ind w:left="3873" w:hanging="360"/>
      </w:pPr>
      <w:rPr>
        <w:rFonts w:ascii="Times New Roman" w:eastAsia="Times New Roman" w:hAnsi="Times New Roman" w:cs="Times New Roman"/>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7477CB1"/>
    <w:multiLevelType w:val="hybridMultilevel"/>
    <w:tmpl w:val="C11E419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nsid w:val="57D30AAD"/>
    <w:multiLevelType w:val="hybridMultilevel"/>
    <w:tmpl w:val="94E23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C16FA8"/>
    <w:multiLevelType w:val="hybridMultilevel"/>
    <w:tmpl w:val="B1EC52D6"/>
    <w:lvl w:ilvl="0" w:tplc="04150011">
      <w:start w:val="1"/>
      <w:numFmt w:val="decimal"/>
      <w:lvlText w:val="%1)"/>
      <w:lvlJc w:val="left"/>
      <w:pPr>
        <w:tabs>
          <w:tab w:val="num" w:pos="644"/>
        </w:tabs>
        <w:ind w:left="644" w:hanging="360"/>
      </w:pPr>
      <w:rPr>
        <w:rFonts w:hint="default"/>
        <w:b w:val="0"/>
      </w:rPr>
    </w:lvl>
    <w:lvl w:ilvl="1" w:tplc="04150019">
      <w:start w:val="1"/>
      <w:numFmt w:val="lowerLetter"/>
      <w:lvlText w:val="%2."/>
      <w:lvlJc w:val="left"/>
      <w:pPr>
        <w:tabs>
          <w:tab w:val="num" w:pos="1724"/>
        </w:tabs>
        <w:ind w:left="1724" w:hanging="360"/>
      </w:pPr>
    </w:lvl>
    <w:lvl w:ilvl="2" w:tplc="BC12A9AC">
      <w:start w:val="1"/>
      <w:numFmt w:val="decimal"/>
      <w:lvlText w:val="%3)"/>
      <w:lvlJc w:val="right"/>
      <w:pPr>
        <w:tabs>
          <w:tab w:val="num" w:pos="2444"/>
        </w:tabs>
        <w:ind w:left="2444" w:hanging="180"/>
      </w:pPr>
      <w:rPr>
        <w:rFonts w:ascii="Times New Roman" w:eastAsia="Times New Roman" w:hAnsi="Times New Roman" w:cs="Times New Roman"/>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nsid w:val="65CA412A"/>
    <w:multiLevelType w:val="hybridMultilevel"/>
    <w:tmpl w:val="FD184946"/>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66DB2DE8"/>
    <w:multiLevelType w:val="hybridMultilevel"/>
    <w:tmpl w:val="8E96B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462B16"/>
    <w:multiLevelType w:val="multilevel"/>
    <w:tmpl w:val="55449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41775"/>
    <w:multiLevelType w:val="multilevel"/>
    <w:tmpl w:val="9A88D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552AFE"/>
    <w:multiLevelType w:val="hybridMultilevel"/>
    <w:tmpl w:val="00D43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7"/>
  </w:num>
  <w:num w:numId="3">
    <w:abstractNumId w:val="9"/>
  </w:num>
  <w:num w:numId="4">
    <w:abstractNumId w:val="18"/>
  </w:num>
  <w:num w:numId="5">
    <w:abstractNumId w:val="12"/>
  </w:num>
  <w:num w:numId="6">
    <w:abstractNumId w:val="19"/>
  </w:num>
  <w:num w:numId="7">
    <w:abstractNumId w:val="25"/>
  </w:num>
  <w:num w:numId="8">
    <w:abstractNumId w:val="13"/>
  </w:num>
  <w:num w:numId="9">
    <w:abstractNumId w:val="20"/>
  </w:num>
  <w:num w:numId="10">
    <w:abstractNumId w:val="6"/>
  </w:num>
  <w:num w:numId="11">
    <w:abstractNumId w:val="14"/>
  </w:num>
  <w:num w:numId="12">
    <w:abstractNumId w:val="15"/>
  </w:num>
  <w:num w:numId="13">
    <w:abstractNumId w:val="11"/>
  </w:num>
  <w:num w:numId="14">
    <w:abstractNumId w:val="10"/>
  </w:num>
  <w:num w:numId="15">
    <w:abstractNumId w:val="24"/>
  </w:num>
  <w:num w:numId="16">
    <w:abstractNumId w:val="22"/>
  </w:num>
  <w:num w:numId="17">
    <w:abstractNumId w:val="8"/>
  </w:num>
  <w:num w:numId="18">
    <w:abstractNumId w:val="4"/>
  </w:num>
  <w:num w:numId="19">
    <w:abstractNumId w:val="21"/>
  </w:num>
  <w:num w:numId="20">
    <w:abstractNumId w:val="0"/>
  </w:num>
  <w:num w:numId="21">
    <w:abstractNumId w:val="1"/>
  </w:num>
  <w:num w:numId="22">
    <w:abstractNumId w:val="3"/>
  </w:num>
  <w:num w:numId="23">
    <w:abstractNumId w:val="16"/>
  </w:num>
  <w:num w:numId="24">
    <w:abstractNumId w:val="5"/>
  </w:num>
  <w:num w:numId="25">
    <w:abstractNumId w:val="17"/>
  </w:num>
  <w:num w:numId="26">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óżycka Michalina">
    <w15:presenceInfo w15:providerId="AD" w15:userId="S-1-5-21-2344606472-4088782542-1622527999-32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65"/>
    <w:rsid w:val="000169C8"/>
    <w:rsid w:val="000333BE"/>
    <w:rsid w:val="00036131"/>
    <w:rsid w:val="00054C9E"/>
    <w:rsid w:val="00064C7A"/>
    <w:rsid w:val="00066D6E"/>
    <w:rsid w:val="00082307"/>
    <w:rsid w:val="000A1A4E"/>
    <w:rsid w:val="000A2365"/>
    <w:rsid w:val="000A4FE4"/>
    <w:rsid w:val="000D2FF3"/>
    <w:rsid w:val="000D4830"/>
    <w:rsid w:val="000D5B08"/>
    <w:rsid w:val="000D6E37"/>
    <w:rsid w:val="000D74ED"/>
    <w:rsid w:val="000E3BAD"/>
    <w:rsid w:val="001015C8"/>
    <w:rsid w:val="001053FD"/>
    <w:rsid w:val="00147BDD"/>
    <w:rsid w:val="00164F4C"/>
    <w:rsid w:val="00165382"/>
    <w:rsid w:val="00167EB6"/>
    <w:rsid w:val="0017484D"/>
    <w:rsid w:val="001821C7"/>
    <w:rsid w:val="0019037A"/>
    <w:rsid w:val="00193273"/>
    <w:rsid w:val="001C177D"/>
    <w:rsid w:val="001C6AF2"/>
    <w:rsid w:val="001D2D36"/>
    <w:rsid w:val="001D37A6"/>
    <w:rsid w:val="001D62AA"/>
    <w:rsid w:val="001E1F53"/>
    <w:rsid w:val="001E3382"/>
    <w:rsid w:val="001F5DCA"/>
    <w:rsid w:val="00213462"/>
    <w:rsid w:val="002170E9"/>
    <w:rsid w:val="00227902"/>
    <w:rsid w:val="00235387"/>
    <w:rsid w:val="00241B5C"/>
    <w:rsid w:val="0024596A"/>
    <w:rsid w:val="00251346"/>
    <w:rsid w:val="00266718"/>
    <w:rsid w:val="00271477"/>
    <w:rsid w:val="002716F5"/>
    <w:rsid w:val="0027254E"/>
    <w:rsid w:val="00296FC3"/>
    <w:rsid w:val="002A4D33"/>
    <w:rsid w:val="002B584E"/>
    <w:rsid w:val="002C2ED0"/>
    <w:rsid w:val="002E0E02"/>
    <w:rsid w:val="002E0FE5"/>
    <w:rsid w:val="002F28EA"/>
    <w:rsid w:val="002F58BB"/>
    <w:rsid w:val="0030193E"/>
    <w:rsid w:val="00304A23"/>
    <w:rsid w:val="00306323"/>
    <w:rsid w:val="00306C86"/>
    <w:rsid w:val="0032353D"/>
    <w:rsid w:val="003324CF"/>
    <w:rsid w:val="0034106F"/>
    <w:rsid w:val="00362081"/>
    <w:rsid w:val="0036539D"/>
    <w:rsid w:val="00377FC6"/>
    <w:rsid w:val="00385EDC"/>
    <w:rsid w:val="003962D5"/>
    <w:rsid w:val="003978FC"/>
    <w:rsid w:val="003A0178"/>
    <w:rsid w:val="003A2327"/>
    <w:rsid w:val="003A6EF1"/>
    <w:rsid w:val="003B2534"/>
    <w:rsid w:val="003C4782"/>
    <w:rsid w:val="003C5AAC"/>
    <w:rsid w:val="003D59D2"/>
    <w:rsid w:val="00416363"/>
    <w:rsid w:val="00425B07"/>
    <w:rsid w:val="004305A0"/>
    <w:rsid w:val="00431053"/>
    <w:rsid w:val="00443F67"/>
    <w:rsid w:val="00451AB2"/>
    <w:rsid w:val="00473490"/>
    <w:rsid w:val="00480755"/>
    <w:rsid w:val="004822BD"/>
    <w:rsid w:val="0048691F"/>
    <w:rsid w:val="004B56FC"/>
    <w:rsid w:val="004C6A53"/>
    <w:rsid w:val="004E6CC6"/>
    <w:rsid w:val="004F4B74"/>
    <w:rsid w:val="005069E7"/>
    <w:rsid w:val="005309FD"/>
    <w:rsid w:val="0056076F"/>
    <w:rsid w:val="00560BEF"/>
    <w:rsid w:val="00576AE4"/>
    <w:rsid w:val="005851AB"/>
    <w:rsid w:val="00585BA9"/>
    <w:rsid w:val="005867B1"/>
    <w:rsid w:val="00587669"/>
    <w:rsid w:val="00594C8B"/>
    <w:rsid w:val="0059587F"/>
    <w:rsid w:val="005B0D20"/>
    <w:rsid w:val="005B64F0"/>
    <w:rsid w:val="005E38DD"/>
    <w:rsid w:val="005F234F"/>
    <w:rsid w:val="005F5C91"/>
    <w:rsid w:val="00604E98"/>
    <w:rsid w:val="00620E82"/>
    <w:rsid w:val="0062737B"/>
    <w:rsid w:val="00640AFB"/>
    <w:rsid w:val="00652B35"/>
    <w:rsid w:val="00666DAF"/>
    <w:rsid w:val="006A0EF4"/>
    <w:rsid w:val="006C05CF"/>
    <w:rsid w:val="006C568B"/>
    <w:rsid w:val="006D5241"/>
    <w:rsid w:val="006D5DA3"/>
    <w:rsid w:val="006D7725"/>
    <w:rsid w:val="006D7CA7"/>
    <w:rsid w:val="006E02FC"/>
    <w:rsid w:val="007124E4"/>
    <w:rsid w:val="0073360C"/>
    <w:rsid w:val="0075491A"/>
    <w:rsid w:val="007630C0"/>
    <w:rsid w:val="00765BFB"/>
    <w:rsid w:val="00767931"/>
    <w:rsid w:val="00772F6D"/>
    <w:rsid w:val="00782A6D"/>
    <w:rsid w:val="00783C00"/>
    <w:rsid w:val="007E04A3"/>
    <w:rsid w:val="007E4F9F"/>
    <w:rsid w:val="007E7A00"/>
    <w:rsid w:val="0081206C"/>
    <w:rsid w:val="008267B4"/>
    <w:rsid w:val="00832B14"/>
    <w:rsid w:val="00835AE0"/>
    <w:rsid w:val="00837B9E"/>
    <w:rsid w:val="00875B22"/>
    <w:rsid w:val="0088531A"/>
    <w:rsid w:val="0088592B"/>
    <w:rsid w:val="008941E1"/>
    <w:rsid w:val="008A17BC"/>
    <w:rsid w:val="008D4147"/>
    <w:rsid w:val="008D4249"/>
    <w:rsid w:val="008D637A"/>
    <w:rsid w:val="008F2F24"/>
    <w:rsid w:val="008F4736"/>
    <w:rsid w:val="008F4AE2"/>
    <w:rsid w:val="008F61B6"/>
    <w:rsid w:val="009063FE"/>
    <w:rsid w:val="009067BA"/>
    <w:rsid w:val="00906D68"/>
    <w:rsid w:val="00915543"/>
    <w:rsid w:val="0093231D"/>
    <w:rsid w:val="00954E65"/>
    <w:rsid w:val="0095583A"/>
    <w:rsid w:val="009567E2"/>
    <w:rsid w:val="00961125"/>
    <w:rsid w:val="00963EDD"/>
    <w:rsid w:val="009813D1"/>
    <w:rsid w:val="00987CFD"/>
    <w:rsid w:val="0099772F"/>
    <w:rsid w:val="009A6798"/>
    <w:rsid w:val="009B3321"/>
    <w:rsid w:val="009C5DD0"/>
    <w:rsid w:val="009E549B"/>
    <w:rsid w:val="009F1E52"/>
    <w:rsid w:val="009F5945"/>
    <w:rsid w:val="009F76E4"/>
    <w:rsid w:val="009F7F10"/>
    <w:rsid w:val="00A23648"/>
    <w:rsid w:val="00A31702"/>
    <w:rsid w:val="00A416F4"/>
    <w:rsid w:val="00A4326F"/>
    <w:rsid w:val="00A662B1"/>
    <w:rsid w:val="00A7352A"/>
    <w:rsid w:val="00A80E14"/>
    <w:rsid w:val="00AA17FA"/>
    <w:rsid w:val="00AB1728"/>
    <w:rsid w:val="00AB2F26"/>
    <w:rsid w:val="00AE0F03"/>
    <w:rsid w:val="00B00B69"/>
    <w:rsid w:val="00B04569"/>
    <w:rsid w:val="00B10B8D"/>
    <w:rsid w:val="00B1219F"/>
    <w:rsid w:val="00B23F04"/>
    <w:rsid w:val="00B312F2"/>
    <w:rsid w:val="00B4096C"/>
    <w:rsid w:val="00B435B2"/>
    <w:rsid w:val="00B4700F"/>
    <w:rsid w:val="00B67570"/>
    <w:rsid w:val="00B73AE7"/>
    <w:rsid w:val="00B91040"/>
    <w:rsid w:val="00B92754"/>
    <w:rsid w:val="00BB13F1"/>
    <w:rsid w:val="00BB7264"/>
    <w:rsid w:val="00BC493A"/>
    <w:rsid w:val="00BC55EC"/>
    <w:rsid w:val="00BD21A3"/>
    <w:rsid w:val="00BD5769"/>
    <w:rsid w:val="00BE0D35"/>
    <w:rsid w:val="00BE1273"/>
    <w:rsid w:val="00C11648"/>
    <w:rsid w:val="00C37410"/>
    <w:rsid w:val="00C37DAE"/>
    <w:rsid w:val="00C416ED"/>
    <w:rsid w:val="00C442FB"/>
    <w:rsid w:val="00C449C1"/>
    <w:rsid w:val="00C54837"/>
    <w:rsid w:val="00C63F4B"/>
    <w:rsid w:val="00C6404B"/>
    <w:rsid w:val="00C74E84"/>
    <w:rsid w:val="00C82C17"/>
    <w:rsid w:val="00C846DF"/>
    <w:rsid w:val="00C867A5"/>
    <w:rsid w:val="00C90B09"/>
    <w:rsid w:val="00CD2093"/>
    <w:rsid w:val="00CD24E2"/>
    <w:rsid w:val="00CD57D9"/>
    <w:rsid w:val="00D03362"/>
    <w:rsid w:val="00D04233"/>
    <w:rsid w:val="00D17BE8"/>
    <w:rsid w:val="00D36DE4"/>
    <w:rsid w:val="00D473CA"/>
    <w:rsid w:val="00D55E6F"/>
    <w:rsid w:val="00D56C9A"/>
    <w:rsid w:val="00D60FD6"/>
    <w:rsid w:val="00D878C7"/>
    <w:rsid w:val="00DA57EF"/>
    <w:rsid w:val="00DB60C7"/>
    <w:rsid w:val="00DC1229"/>
    <w:rsid w:val="00DC4211"/>
    <w:rsid w:val="00DC60DF"/>
    <w:rsid w:val="00DC6758"/>
    <w:rsid w:val="00DE009E"/>
    <w:rsid w:val="00DE602D"/>
    <w:rsid w:val="00DF7386"/>
    <w:rsid w:val="00DF7C94"/>
    <w:rsid w:val="00E11087"/>
    <w:rsid w:val="00E1635B"/>
    <w:rsid w:val="00E2365A"/>
    <w:rsid w:val="00E356EB"/>
    <w:rsid w:val="00E42803"/>
    <w:rsid w:val="00E44A95"/>
    <w:rsid w:val="00E60DD9"/>
    <w:rsid w:val="00E61796"/>
    <w:rsid w:val="00E61F07"/>
    <w:rsid w:val="00E6253B"/>
    <w:rsid w:val="00E766C3"/>
    <w:rsid w:val="00E8563B"/>
    <w:rsid w:val="00E87433"/>
    <w:rsid w:val="00E87A7F"/>
    <w:rsid w:val="00E90E6F"/>
    <w:rsid w:val="00E94438"/>
    <w:rsid w:val="00E94909"/>
    <w:rsid w:val="00EA0BE0"/>
    <w:rsid w:val="00EA1D9E"/>
    <w:rsid w:val="00EB13ED"/>
    <w:rsid w:val="00EB1FCC"/>
    <w:rsid w:val="00EC5D85"/>
    <w:rsid w:val="00EC7837"/>
    <w:rsid w:val="00EF30DD"/>
    <w:rsid w:val="00F22EBC"/>
    <w:rsid w:val="00F532AF"/>
    <w:rsid w:val="00F57000"/>
    <w:rsid w:val="00F63236"/>
    <w:rsid w:val="00F85E15"/>
    <w:rsid w:val="00F86692"/>
    <w:rsid w:val="00F90EAA"/>
    <w:rsid w:val="00F96ACB"/>
    <w:rsid w:val="00FA710E"/>
    <w:rsid w:val="00FB07E5"/>
    <w:rsid w:val="00FC498E"/>
    <w:rsid w:val="00FC4BA6"/>
    <w:rsid w:val="00FD0C0B"/>
    <w:rsid w:val="00FE44D8"/>
    <w:rsid w:val="00FF008A"/>
    <w:rsid w:val="00FF0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4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table" w:styleId="Tabela-Siatka">
    <w:name w:val="Table Grid"/>
    <w:basedOn w:val="Standardowy"/>
    <w:uiPriority w:val="59"/>
    <w:rsid w:val="00EC5D85"/>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EC5D85"/>
    <w:rPr>
      <w:rFonts w:ascii="Courier New" w:hAnsi="Courier New"/>
      <w:sz w:val="20"/>
      <w:szCs w:val="20"/>
    </w:rPr>
  </w:style>
  <w:style w:type="character" w:customStyle="1" w:styleId="ZwykytekstZnak">
    <w:name w:val="Zwykły tekst Znak"/>
    <w:basedOn w:val="Domylnaczcionkaakapitu"/>
    <w:link w:val="Zwykytekst"/>
    <w:rsid w:val="00EC5D85"/>
    <w:rPr>
      <w:rFonts w:ascii="Courier New" w:eastAsia="Times New Roman" w:hAnsi="Courier New" w:cs="Times New Roman"/>
      <w:sz w:val="20"/>
      <w:szCs w:val="20"/>
      <w:lang w:eastAsia="pl-PL"/>
    </w:rPr>
  </w:style>
  <w:style w:type="paragraph" w:styleId="Tekstprzypisukocowego">
    <w:name w:val="endnote text"/>
    <w:basedOn w:val="Normalny"/>
    <w:link w:val="TekstprzypisukocowegoZnak"/>
    <w:uiPriority w:val="99"/>
    <w:semiHidden/>
    <w:unhideWhenUsed/>
    <w:rsid w:val="00772F6D"/>
    <w:rPr>
      <w:sz w:val="20"/>
      <w:szCs w:val="20"/>
    </w:rPr>
  </w:style>
  <w:style w:type="character" w:customStyle="1" w:styleId="TekstprzypisukocowegoZnak">
    <w:name w:val="Tekst przypisu końcowego Znak"/>
    <w:basedOn w:val="Domylnaczcionkaakapitu"/>
    <w:link w:val="Tekstprzypisukocowego"/>
    <w:uiPriority w:val="99"/>
    <w:semiHidden/>
    <w:rsid w:val="00772F6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72F6D"/>
    <w:rPr>
      <w:vertAlign w:val="superscript"/>
    </w:rPr>
  </w:style>
  <w:style w:type="table" w:customStyle="1" w:styleId="Tabela-Siatka1">
    <w:name w:val="Tabela - Siatka1"/>
    <w:basedOn w:val="Standardowy"/>
    <w:next w:val="Tabela-Siatka"/>
    <w:rsid w:val="00167EB6"/>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BB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46">
    <w:name w:val="Char Style 46"/>
    <w:basedOn w:val="Domylnaczcionkaakapitu"/>
    <w:link w:val="Style45"/>
    <w:rsid w:val="00271477"/>
    <w:rPr>
      <w:sz w:val="18"/>
      <w:szCs w:val="18"/>
      <w:shd w:val="clear" w:color="auto" w:fill="FFFFFF"/>
    </w:rPr>
  </w:style>
  <w:style w:type="paragraph" w:customStyle="1" w:styleId="Style45">
    <w:name w:val="Style 45"/>
    <w:basedOn w:val="Normalny"/>
    <w:link w:val="CharStyle46"/>
    <w:rsid w:val="00271477"/>
    <w:pPr>
      <w:widowControl w:val="0"/>
      <w:shd w:val="clear" w:color="auto" w:fill="FFFFFF"/>
      <w:spacing w:after="620" w:line="200" w:lineRule="exact"/>
    </w:pPr>
    <w:rPr>
      <w:rFonts w:asciiTheme="minorHAnsi" w:eastAsiaTheme="minorHAnsi" w:hAnsiTheme="minorHAnsi" w:cstheme="minorBidi"/>
      <w:sz w:val="18"/>
      <w:szCs w:val="18"/>
      <w:lang w:eastAsia="en-US"/>
    </w:rPr>
  </w:style>
  <w:style w:type="character" w:customStyle="1" w:styleId="CharStyle25">
    <w:name w:val="Char Style 25"/>
    <w:link w:val="Style11"/>
    <w:rsid w:val="001053FD"/>
    <w:rPr>
      <w:shd w:val="clear" w:color="auto" w:fill="FFFFFF"/>
    </w:rPr>
  </w:style>
  <w:style w:type="character" w:customStyle="1" w:styleId="CharStyle33">
    <w:name w:val="Char Style 33"/>
    <w:rsid w:val="001053F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Style11">
    <w:name w:val="Style 11"/>
    <w:basedOn w:val="Normalny"/>
    <w:link w:val="CharStyle25"/>
    <w:rsid w:val="001053FD"/>
    <w:pPr>
      <w:widowControl w:val="0"/>
      <w:shd w:val="clear" w:color="auto" w:fill="FFFFFF"/>
      <w:spacing w:before="1040" w:after="1240" w:line="413" w:lineRule="exact"/>
      <w:ind w:hanging="540"/>
      <w:jc w:val="both"/>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D36DE4"/>
    <w:rPr>
      <w:sz w:val="16"/>
      <w:szCs w:val="16"/>
    </w:rPr>
  </w:style>
  <w:style w:type="paragraph" w:styleId="Tekstkomentarza">
    <w:name w:val="annotation text"/>
    <w:basedOn w:val="Normalny"/>
    <w:link w:val="TekstkomentarzaZnak"/>
    <w:uiPriority w:val="99"/>
    <w:semiHidden/>
    <w:unhideWhenUsed/>
    <w:rsid w:val="00D36DE4"/>
    <w:rPr>
      <w:sz w:val="20"/>
      <w:szCs w:val="20"/>
    </w:rPr>
  </w:style>
  <w:style w:type="character" w:customStyle="1" w:styleId="TekstkomentarzaZnak">
    <w:name w:val="Tekst komentarza Znak"/>
    <w:basedOn w:val="Domylnaczcionkaakapitu"/>
    <w:link w:val="Tekstkomentarza"/>
    <w:uiPriority w:val="99"/>
    <w:semiHidden/>
    <w:rsid w:val="00D36D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6DE4"/>
    <w:rPr>
      <w:b/>
      <w:bCs/>
    </w:rPr>
  </w:style>
  <w:style w:type="character" w:customStyle="1" w:styleId="TematkomentarzaZnak">
    <w:name w:val="Temat komentarza Znak"/>
    <w:basedOn w:val="TekstkomentarzaZnak"/>
    <w:link w:val="Tematkomentarza"/>
    <w:uiPriority w:val="99"/>
    <w:semiHidden/>
    <w:rsid w:val="00D36D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362">
      <w:bodyDiv w:val="1"/>
      <w:marLeft w:val="0"/>
      <w:marRight w:val="0"/>
      <w:marTop w:val="0"/>
      <w:marBottom w:val="0"/>
      <w:divBdr>
        <w:top w:val="none" w:sz="0" w:space="0" w:color="auto"/>
        <w:left w:val="none" w:sz="0" w:space="0" w:color="auto"/>
        <w:bottom w:val="none" w:sz="0" w:space="0" w:color="auto"/>
        <w:right w:val="none" w:sz="0" w:space="0" w:color="auto"/>
      </w:divBdr>
    </w:div>
    <w:div w:id="313876639">
      <w:bodyDiv w:val="1"/>
      <w:marLeft w:val="0"/>
      <w:marRight w:val="0"/>
      <w:marTop w:val="0"/>
      <w:marBottom w:val="0"/>
      <w:divBdr>
        <w:top w:val="none" w:sz="0" w:space="0" w:color="auto"/>
        <w:left w:val="none" w:sz="0" w:space="0" w:color="auto"/>
        <w:bottom w:val="none" w:sz="0" w:space="0" w:color="auto"/>
        <w:right w:val="none" w:sz="0" w:space="0" w:color="auto"/>
      </w:divBdr>
    </w:div>
    <w:div w:id="886257908">
      <w:bodyDiv w:val="1"/>
      <w:marLeft w:val="0"/>
      <w:marRight w:val="0"/>
      <w:marTop w:val="0"/>
      <w:marBottom w:val="0"/>
      <w:divBdr>
        <w:top w:val="none" w:sz="0" w:space="0" w:color="auto"/>
        <w:left w:val="none" w:sz="0" w:space="0" w:color="auto"/>
        <w:bottom w:val="none" w:sz="0" w:space="0" w:color="auto"/>
        <w:right w:val="none" w:sz="0" w:space="0" w:color="auto"/>
      </w:divBdr>
    </w:div>
    <w:div w:id="971591972">
      <w:bodyDiv w:val="1"/>
      <w:marLeft w:val="0"/>
      <w:marRight w:val="0"/>
      <w:marTop w:val="0"/>
      <w:marBottom w:val="0"/>
      <w:divBdr>
        <w:top w:val="none" w:sz="0" w:space="0" w:color="auto"/>
        <w:left w:val="none" w:sz="0" w:space="0" w:color="auto"/>
        <w:bottom w:val="none" w:sz="0" w:space="0" w:color="auto"/>
        <w:right w:val="none" w:sz="0" w:space="0" w:color="auto"/>
      </w:divBdr>
    </w:div>
    <w:div w:id="985931929">
      <w:bodyDiv w:val="1"/>
      <w:marLeft w:val="0"/>
      <w:marRight w:val="0"/>
      <w:marTop w:val="0"/>
      <w:marBottom w:val="0"/>
      <w:divBdr>
        <w:top w:val="none" w:sz="0" w:space="0" w:color="auto"/>
        <w:left w:val="none" w:sz="0" w:space="0" w:color="auto"/>
        <w:bottom w:val="none" w:sz="0" w:space="0" w:color="auto"/>
        <w:right w:val="none" w:sz="0" w:space="0" w:color="auto"/>
      </w:divBdr>
    </w:div>
    <w:div w:id="1220871250">
      <w:bodyDiv w:val="1"/>
      <w:marLeft w:val="0"/>
      <w:marRight w:val="0"/>
      <w:marTop w:val="0"/>
      <w:marBottom w:val="0"/>
      <w:divBdr>
        <w:top w:val="none" w:sz="0" w:space="0" w:color="auto"/>
        <w:left w:val="none" w:sz="0" w:space="0" w:color="auto"/>
        <w:bottom w:val="none" w:sz="0" w:space="0" w:color="auto"/>
        <w:right w:val="none" w:sz="0" w:space="0" w:color="auto"/>
      </w:divBdr>
    </w:div>
    <w:div w:id="1333413130">
      <w:bodyDiv w:val="1"/>
      <w:marLeft w:val="0"/>
      <w:marRight w:val="0"/>
      <w:marTop w:val="0"/>
      <w:marBottom w:val="0"/>
      <w:divBdr>
        <w:top w:val="none" w:sz="0" w:space="0" w:color="auto"/>
        <w:left w:val="none" w:sz="0" w:space="0" w:color="auto"/>
        <w:bottom w:val="none" w:sz="0" w:space="0" w:color="auto"/>
        <w:right w:val="none" w:sz="0" w:space="0" w:color="auto"/>
      </w:divBdr>
    </w:div>
    <w:div w:id="1397432486">
      <w:bodyDiv w:val="1"/>
      <w:marLeft w:val="0"/>
      <w:marRight w:val="0"/>
      <w:marTop w:val="0"/>
      <w:marBottom w:val="0"/>
      <w:divBdr>
        <w:top w:val="none" w:sz="0" w:space="0" w:color="auto"/>
        <w:left w:val="none" w:sz="0" w:space="0" w:color="auto"/>
        <w:bottom w:val="none" w:sz="0" w:space="0" w:color="auto"/>
        <w:right w:val="none" w:sz="0" w:space="0" w:color="auto"/>
      </w:divBdr>
    </w:div>
    <w:div w:id="1632249974">
      <w:bodyDiv w:val="1"/>
      <w:marLeft w:val="0"/>
      <w:marRight w:val="0"/>
      <w:marTop w:val="0"/>
      <w:marBottom w:val="0"/>
      <w:divBdr>
        <w:top w:val="none" w:sz="0" w:space="0" w:color="auto"/>
        <w:left w:val="none" w:sz="0" w:space="0" w:color="auto"/>
        <w:bottom w:val="none" w:sz="0" w:space="0" w:color="auto"/>
        <w:right w:val="none" w:sz="0" w:space="0" w:color="auto"/>
      </w:divBdr>
      <w:divsChild>
        <w:div w:id="1907915240">
          <w:marLeft w:val="0"/>
          <w:marRight w:val="0"/>
          <w:marTop w:val="0"/>
          <w:marBottom w:val="0"/>
          <w:divBdr>
            <w:top w:val="none" w:sz="0" w:space="0" w:color="auto"/>
            <w:left w:val="none" w:sz="0" w:space="0" w:color="auto"/>
            <w:bottom w:val="none" w:sz="0" w:space="0" w:color="auto"/>
            <w:right w:val="none" w:sz="0" w:space="0" w:color="auto"/>
          </w:divBdr>
          <w:divsChild>
            <w:div w:id="1578443048">
              <w:marLeft w:val="0"/>
              <w:marRight w:val="0"/>
              <w:marTop w:val="0"/>
              <w:marBottom w:val="0"/>
              <w:divBdr>
                <w:top w:val="none" w:sz="0" w:space="0" w:color="auto"/>
                <w:left w:val="none" w:sz="0" w:space="0" w:color="auto"/>
                <w:bottom w:val="none" w:sz="0" w:space="0" w:color="auto"/>
                <w:right w:val="none" w:sz="0" w:space="0" w:color="auto"/>
              </w:divBdr>
              <w:divsChild>
                <w:div w:id="1812944888">
                  <w:marLeft w:val="0"/>
                  <w:marRight w:val="0"/>
                  <w:marTop w:val="0"/>
                  <w:marBottom w:val="0"/>
                  <w:divBdr>
                    <w:top w:val="none" w:sz="0" w:space="0" w:color="auto"/>
                    <w:left w:val="none" w:sz="0" w:space="0" w:color="auto"/>
                    <w:bottom w:val="none" w:sz="0" w:space="0" w:color="auto"/>
                    <w:right w:val="none" w:sz="0" w:space="0" w:color="auto"/>
                  </w:divBdr>
                  <w:divsChild>
                    <w:div w:id="1637026873">
                      <w:marLeft w:val="0"/>
                      <w:marRight w:val="0"/>
                      <w:marTop w:val="0"/>
                      <w:marBottom w:val="0"/>
                      <w:divBdr>
                        <w:top w:val="none" w:sz="0" w:space="0" w:color="auto"/>
                        <w:left w:val="none" w:sz="0" w:space="0" w:color="auto"/>
                        <w:bottom w:val="none" w:sz="0" w:space="0" w:color="auto"/>
                        <w:right w:val="none" w:sz="0" w:space="0" w:color="auto"/>
                      </w:divBdr>
                      <w:divsChild>
                        <w:div w:id="1567915882">
                          <w:marLeft w:val="0"/>
                          <w:marRight w:val="0"/>
                          <w:marTop w:val="0"/>
                          <w:marBottom w:val="0"/>
                          <w:divBdr>
                            <w:top w:val="single" w:sz="2" w:space="0" w:color="EFEDE2"/>
                            <w:left w:val="single" w:sz="2" w:space="0" w:color="EFEDE2"/>
                            <w:bottom w:val="single" w:sz="2" w:space="0" w:color="EFEDE2"/>
                            <w:right w:val="single" w:sz="2" w:space="0" w:color="EFEDE2"/>
                          </w:divBdr>
                          <w:divsChild>
                            <w:div w:id="911819376">
                              <w:marLeft w:val="0"/>
                              <w:marRight w:val="0"/>
                              <w:marTop w:val="0"/>
                              <w:marBottom w:val="0"/>
                              <w:divBdr>
                                <w:top w:val="none" w:sz="0" w:space="0" w:color="auto"/>
                                <w:left w:val="none" w:sz="0" w:space="0" w:color="auto"/>
                                <w:bottom w:val="none" w:sz="0" w:space="0" w:color="auto"/>
                                <w:right w:val="none" w:sz="0" w:space="0" w:color="auto"/>
                              </w:divBdr>
                              <w:divsChild>
                                <w:div w:id="148983428">
                                  <w:marLeft w:val="0"/>
                                  <w:marRight w:val="0"/>
                                  <w:marTop w:val="0"/>
                                  <w:marBottom w:val="0"/>
                                  <w:divBdr>
                                    <w:top w:val="none" w:sz="0" w:space="0" w:color="auto"/>
                                    <w:left w:val="none" w:sz="0" w:space="0" w:color="auto"/>
                                    <w:bottom w:val="none" w:sz="0" w:space="0" w:color="auto"/>
                                    <w:right w:val="none" w:sz="0" w:space="0" w:color="auto"/>
                                  </w:divBdr>
                                  <w:divsChild>
                                    <w:div w:id="705911504">
                                      <w:marLeft w:val="0"/>
                                      <w:marRight w:val="0"/>
                                      <w:marTop w:val="0"/>
                                      <w:marBottom w:val="0"/>
                                      <w:divBdr>
                                        <w:top w:val="none" w:sz="0" w:space="0" w:color="auto"/>
                                        <w:left w:val="none" w:sz="0" w:space="0" w:color="auto"/>
                                        <w:bottom w:val="none" w:sz="0" w:space="0" w:color="auto"/>
                                        <w:right w:val="none" w:sz="0" w:space="0" w:color="auto"/>
                                      </w:divBdr>
                                      <w:divsChild>
                                        <w:div w:id="608271928">
                                          <w:marLeft w:val="0"/>
                                          <w:marRight w:val="0"/>
                                          <w:marTop w:val="0"/>
                                          <w:marBottom w:val="0"/>
                                          <w:divBdr>
                                            <w:top w:val="none" w:sz="0" w:space="0" w:color="auto"/>
                                            <w:left w:val="none" w:sz="0" w:space="0" w:color="auto"/>
                                            <w:bottom w:val="none" w:sz="0" w:space="0" w:color="auto"/>
                                            <w:right w:val="none" w:sz="0" w:space="0" w:color="auto"/>
                                          </w:divBdr>
                                          <w:divsChild>
                                            <w:div w:id="1640649111">
                                              <w:marLeft w:val="0"/>
                                              <w:marRight w:val="0"/>
                                              <w:marTop w:val="0"/>
                                              <w:marBottom w:val="0"/>
                                              <w:divBdr>
                                                <w:top w:val="none" w:sz="0" w:space="0" w:color="auto"/>
                                                <w:left w:val="none" w:sz="0" w:space="0" w:color="auto"/>
                                                <w:bottom w:val="none" w:sz="0" w:space="0" w:color="auto"/>
                                                <w:right w:val="none" w:sz="0" w:space="0" w:color="auto"/>
                                              </w:divBdr>
                                              <w:divsChild>
                                                <w:div w:id="434373768">
                                                  <w:marLeft w:val="0"/>
                                                  <w:marRight w:val="0"/>
                                                  <w:marTop w:val="0"/>
                                                  <w:marBottom w:val="0"/>
                                                  <w:divBdr>
                                                    <w:top w:val="none" w:sz="0" w:space="0" w:color="auto"/>
                                                    <w:left w:val="none" w:sz="0" w:space="0" w:color="auto"/>
                                                    <w:bottom w:val="none" w:sz="0" w:space="0" w:color="auto"/>
                                                    <w:right w:val="none" w:sz="0" w:space="0" w:color="auto"/>
                                                  </w:divBdr>
                                                  <w:divsChild>
                                                    <w:div w:id="656301607">
                                                      <w:marLeft w:val="0"/>
                                                      <w:marRight w:val="0"/>
                                                      <w:marTop w:val="0"/>
                                                      <w:marBottom w:val="0"/>
                                                      <w:divBdr>
                                                        <w:top w:val="none" w:sz="0" w:space="0" w:color="auto"/>
                                                        <w:left w:val="none" w:sz="0" w:space="0" w:color="auto"/>
                                                        <w:bottom w:val="none" w:sz="0" w:space="0" w:color="auto"/>
                                                        <w:right w:val="none" w:sz="0" w:space="0" w:color="auto"/>
                                                      </w:divBdr>
                                                      <w:divsChild>
                                                        <w:div w:id="855575804">
                                                          <w:marLeft w:val="0"/>
                                                          <w:marRight w:val="0"/>
                                                          <w:marTop w:val="0"/>
                                                          <w:marBottom w:val="0"/>
                                                          <w:divBdr>
                                                            <w:top w:val="single" w:sz="12" w:space="4" w:color="D1D1D1"/>
                                                            <w:left w:val="none" w:sz="0" w:space="0" w:color="auto"/>
                                                            <w:bottom w:val="single" w:sz="12" w:space="4" w:color="D1D1D1"/>
                                                            <w:right w:val="none" w:sz="0" w:space="0" w:color="auto"/>
                                                          </w:divBdr>
                                                          <w:divsChild>
                                                            <w:div w:id="1182545198">
                                                              <w:marLeft w:val="0"/>
                                                              <w:marRight w:val="0"/>
                                                              <w:marTop w:val="0"/>
                                                              <w:marBottom w:val="0"/>
                                                              <w:divBdr>
                                                                <w:top w:val="none" w:sz="0" w:space="0" w:color="auto"/>
                                                                <w:left w:val="none" w:sz="0" w:space="0" w:color="auto"/>
                                                                <w:bottom w:val="none" w:sz="0" w:space="0" w:color="auto"/>
                                                                <w:right w:val="none" w:sz="0" w:space="0" w:color="auto"/>
                                                              </w:divBdr>
                                                              <w:divsChild>
                                                                <w:div w:id="1271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0227297">
      <w:bodyDiv w:val="1"/>
      <w:marLeft w:val="0"/>
      <w:marRight w:val="0"/>
      <w:marTop w:val="0"/>
      <w:marBottom w:val="0"/>
      <w:divBdr>
        <w:top w:val="none" w:sz="0" w:space="0" w:color="auto"/>
        <w:left w:val="none" w:sz="0" w:space="0" w:color="auto"/>
        <w:bottom w:val="none" w:sz="0" w:space="0" w:color="auto"/>
        <w:right w:val="none" w:sz="0" w:space="0" w:color="auto"/>
      </w:divBdr>
    </w:div>
    <w:div w:id="1895391581">
      <w:bodyDiv w:val="1"/>
      <w:marLeft w:val="0"/>
      <w:marRight w:val="0"/>
      <w:marTop w:val="0"/>
      <w:marBottom w:val="0"/>
      <w:divBdr>
        <w:top w:val="none" w:sz="0" w:space="0" w:color="auto"/>
        <w:left w:val="none" w:sz="0" w:space="0" w:color="auto"/>
        <w:bottom w:val="none" w:sz="0" w:space="0" w:color="auto"/>
        <w:right w:val="none" w:sz="0" w:space="0" w:color="auto"/>
      </w:divBdr>
    </w:div>
    <w:div w:id="20077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0x0025D98E2EA74DBD4ABB33364114561140</ContentTypeId>
    <TemplateUrl xmlns="http://schemas.microsoft.com/sharepoint/v3" xsi:nil="true"/>
    <Osoba xmlns="2E8ED925-4DA7-4ABD-BB33-364114561140">ZSI\T.BARTCZAK</Osoba>
    <Odbiorcy2 xmlns="2E8ED925-4DA7-4ABD-BB33-364114561140" xsi:nil="true"/>
    <_SourceUrl xmlns="http://schemas.microsoft.com/sharepoint/v3" xsi:nil="true"/>
    <NazwaPliku xmlns="2E8ED925-4DA7-4ABD-BB33-364114561140">Załączniki nr 2A - zmodyfikowany 2.docx.docx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25D98E2EA74DBD4ABB33364114561140" ma:contentTypeVersion="" ma:contentTypeDescription="" ma:contentTypeScope="" ma:versionID="89fc06e3b59680eb6a13888b00036306">
  <xsd:schema xmlns:xsd="http://www.w3.org/2001/XMLSchema" xmlns:xs="http://www.w3.org/2001/XMLSchema" xmlns:p="http://schemas.microsoft.com/office/2006/metadata/properties" xmlns:ns1="http://schemas.microsoft.com/sharepoint/v3" xmlns:ns2="2E8ED925-4DA7-4ABD-BB33-364114561140" targetNamespace="http://schemas.microsoft.com/office/2006/metadata/properties" ma:root="true" ma:fieldsID="9c6614f7924fb67e6ac6d238c95f9f4e" ns1:_="" ns2:_="">
    <xsd:import namespace="http://schemas.microsoft.com/sharepoint/v3"/>
    <xsd:import namespace="2E8ED925-4DA7-4ABD-BB33-364114561140"/>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8ED925-4DA7-4ABD-BB33-364114561140"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C4A4-58DE-4ECC-80E3-E5801FA3A97C}">
  <ds:schemaRefs>
    <ds:schemaRef ds:uri="http://schemas.microsoft.com/office/2006/metadata/properties"/>
    <ds:schemaRef ds:uri="http://schemas.microsoft.com/office/infopath/2007/PartnerControls"/>
    <ds:schemaRef ds:uri="http://schemas.microsoft.com/sharepoint/v3"/>
    <ds:schemaRef ds:uri="2E8ED925-4DA7-4ABD-BB33-364114561140"/>
  </ds:schemaRefs>
</ds:datastoreItem>
</file>

<file path=customXml/itemProps2.xml><?xml version="1.0" encoding="utf-8"?>
<ds:datastoreItem xmlns:ds="http://schemas.openxmlformats.org/officeDocument/2006/customXml" ds:itemID="{50353455-8FC2-4F07-B8D6-EEBF575B5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8ED925-4DA7-4ABD-BB33-364114561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96C92-4952-46D1-9300-1081EF48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2017-12-29T13:14:00Z</dcterms:created>
  <dcterms:modified xsi:type="dcterms:W3CDTF">2017-12-29T13:14:00Z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